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23" w:rsidRDefault="00F06923" w:rsidP="00E16B14">
      <w:pPr>
        <w:spacing w:after="0" w:line="240" w:lineRule="auto"/>
        <w:contextualSpacing/>
        <w:jc w:val="both"/>
        <w:rPr>
          <w:rFonts w:ascii="Times New Roman" w:hAnsi="Times New Roman"/>
          <w:b/>
          <w:caps/>
          <w:sz w:val="20"/>
          <w:szCs w:val="20"/>
        </w:rPr>
      </w:pPr>
    </w:p>
    <w:p w:rsidR="00F06923" w:rsidRDefault="00F06923" w:rsidP="00E16B14">
      <w:pPr>
        <w:spacing w:after="0" w:line="240" w:lineRule="auto"/>
        <w:contextualSpacing/>
        <w:jc w:val="both"/>
        <w:rPr>
          <w:rFonts w:ascii="Times New Roman" w:hAnsi="Times New Roman"/>
          <w:b/>
          <w:caps/>
          <w:sz w:val="20"/>
          <w:szCs w:val="20"/>
        </w:rPr>
      </w:pPr>
    </w:p>
    <w:p w:rsidR="00F06923" w:rsidRDefault="00F06923" w:rsidP="00E16B14">
      <w:pPr>
        <w:spacing w:after="0" w:line="240" w:lineRule="auto"/>
        <w:contextualSpacing/>
        <w:jc w:val="both"/>
        <w:rPr>
          <w:rFonts w:ascii="Times New Roman" w:hAnsi="Times New Roman"/>
          <w:b/>
          <w:caps/>
          <w:sz w:val="20"/>
          <w:szCs w:val="20"/>
        </w:rPr>
      </w:pPr>
    </w:p>
    <w:p w:rsidR="00F06923" w:rsidRDefault="00F06923" w:rsidP="00E16B14">
      <w:pPr>
        <w:spacing w:after="0" w:line="240" w:lineRule="auto"/>
        <w:contextualSpacing/>
        <w:jc w:val="both"/>
        <w:rPr>
          <w:rFonts w:ascii="Times New Roman" w:hAnsi="Times New Roman"/>
          <w:b/>
          <w:caps/>
          <w:sz w:val="20"/>
          <w:szCs w:val="20"/>
        </w:rPr>
      </w:pPr>
    </w:p>
    <w:p w:rsidR="00F06923" w:rsidRDefault="00F06923" w:rsidP="00E16B14">
      <w:pPr>
        <w:spacing w:after="0" w:line="240" w:lineRule="auto"/>
        <w:contextualSpacing/>
        <w:jc w:val="both"/>
        <w:rPr>
          <w:rFonts w:ascii="Times New Roman" w:hAnsi="Times New Roman"/>
          <w:b/>
          <w:caps/>
          <w:sz w:val="20"/>
          <w:szCs w:val="20"/>
        </w:rPr>
      </w:pPr>
    </w:p>
    <w:p w:rsidR="00F06923" w:rsidRDefault="00F06923" w:rsidP="00E16B14">
      <w:pPr>
        <w:spacing w:after="0" w:line="240" w:lineRule="auto"/>
        <w:contextualSpacing/>
        <w:jc w:val="both"/>
        <w:rPr>
          <w:rFonts w:ascii="Times New Roman" w:hAnsi="Times New Roman"/>
          <w:b/>
          <w:caps/>
          <w:sz w:val="20"/>
          <w:szCs w:val="20"/>
        </w:rPr>
      </w:pPr>
    </w:p>
    <w:p w:rsidR="00F06923" w:rsidRDefault="00F06923" w:rsidP="00E16B14">
      <w:pPr>
        <w:spacing w:after="0" w:line="240" w:lineRule="auto"/>
        <w:contextualSpacing/>
        <w:jc w:val="both"/>
        <w:rPr>
          <w:rFonts w:ascii="Times New Roman" w:hAnsi="Times New Roman"/>
          <w:b/>
          <w:caps/>
          <w:sz w:val="20"/>
          <w:szCs w:val="20"/>
        </w:rPr>
      </w:pPr>
    </w:p>
    <w:p w:rsidR="00FE3D30" w:rsidRDefault="00C262AF" w:rsidP="00FE3D30">
      <w:pPr>
        <w:spacing w:after="0" w:line="240" w:lineRule="auto"/>
        <w:contextualSpacing/>
        <w:jc w:val="center"/>
        <w:rPr>
          <w:rFonts w:ascii="Times New Roman" w:hAnsi="Times New Roman"/>
          <w:b/>
          <w:caps/>
          <w:sz w:val="20"/>
          <w:szCs w:val="20"/>
        </w:rPr>
      </w:pPr>
      <w:r w:rsidRPr="00F06923">
        <w:rPr>
          <w:rFonts w:ascii="Times New Roman" w:hAnsi="Times New Roman"/>
          <w:b/>
          <w:caps/>
          <w:sz w:val="20"/>
          <w:szCs w:val="20"/>
        </w:rPr>
        <w:t>The</w:t>
      </w:r>
      <w:r w:rsidR="00FE3D30">
        <w:rPr>
          <w:rFonts w:ascii="Times New Roman" w:hAnsi="Times New Roman"/>
          <w:b/>
          <w:caps/>
          <w:sz w:val="20"/>
          <w:szCs w:val="20"/>
        </w:rPr>
        <w:t xml:space="preserve"> Relationship of IEP Quality</w:t>
      </w:r>
    </w:p>
    <w:p w:rsidR="00FE3D30" w:rsidRDefault="00F06923" w:rsidP="00FE3D30">
      <w:pPr>
        <w:spacing w:after="0" w:line="240" w:lineRule="auto"/>
        <w:contextualSpacing/>
        <w:jc w:val="center"/>
        <w:rPr>
          <w:rFonts w:ascii="Times New Roman" w:hAnsi="Times New Roman"/>
          <w:b/>
          <w:caps/>
          <w:sz w:val="20"/>
          <w:szCs w:val="20"/>
        </w:rPr>
      </w:pPr>
      <w:r>
        <w:rPr>
          <w:rFonts w:ascii="Times New Roman" w:hAnsi="Times New Roman"/>
          <w:b/>
          <w:caps/>
          <w:sz w:val="20"/>
          <w:szCs w:val="20"/>
        </w:rPr>
        <w:t>to</w:t>
      </w:r>
      <w:r w:rsidR="00FE3D30">
        <w:rPr>
          <w:rFonts w:ascii="Times New Roman" w:hAnsi="Times New Roman"/>
          <w:b/>
          <w:caps/>
          <w:sz w:val="20"/>
          <w:szCs w:val="20"/>
        </w:rPr>
        <w:t xml:space="preserve"> </w:t>
      </w:r>
      <w:r w:rsidR="00C262AF" w:rsidRPr="00F06923">
        <w:rPr>
          <w:rFonts w:ascii="Times New Roman" w:hAnsi="Times New Roman"/>
          <w:b/>
          <w:caps/>
          <w:sz w:val="20"/>
          <w:szCs w:val="20"/>
        </w:rPr>
        <w:t xml:space="preserve">Curricular </w:t>
      </w:r>
      <w:r w:rsidR="00FE3D30">
        <w:rPr>
          <w:rFonts w:ascii="Times New Roman" w:hAnsi="Times New Roman"/>
          <w:b/>
          <w:caps/>
          <w:sz w:val="20"/>
          <w:szCs w:val="20"/>
        </w:rPr>
        <w:t xml:space="preserve">Access </w:t>
      </w:r>
      <w:r>
        <w:rPr>
          <w:rFonts w:ascii="Times New Roman" w:hAnsi="Times New Roman"/>
          <w:b/>
          <w:caps/>
          <w:sz w:val="20"/>
          <w:szCs w:val="20"/>
        </w:rPr>
        <w:t>and Academic Achievement</w:t>
      </w:r>
    </w:p>
    <w:p w:rsidR="00C262AF" w:rsidRPr="00F06923" w:rsidRDefault="00C262AF" w:rsidP="00FE3D30">
      <w:pPr>
        <w:spacing w:after="0" w:line="240" w:lineRule="auto"/>
        <w:contextualSpacing/>
        <w:jc w:val="center"/>
        <w:rPr>
          <w:rFonts w:ascii="Times New Roman" w:hAnsi="Times New Roman"/>
          <w:b/>
          <w:caps/>
          <w:sz w:val="20"/>
          <w:szCs w:val="20"/>
        </w:rPr>
      </w:pPr>
      <w:r w:rsidRPr="00F06923">
        <w:rPr>
          <w:rFonts w:ascii="Times New Roman" w:hAnsi="Times New Roman"/>
          <w:b/>
          <w:caps/>
          <w:sz w:val="20"/>
          <w:szCs w:val="20"/>
        </w:rPr>
        <w:t>for Students with Disabilities</w:t>
      </w:r>
      <w:r w:rsidRPr="00F06923">
        <w:rPr>
          <w:rFonts w:ascii="Times New Roman" w:hAnsi="Times New Roman"/>
          <w:b/>
          <w:caps/>
          <w:sz w:val="20"/>
          <w:szCs w:val="20"/>
        </w:rPr>
        <w:br/>
      </w:r>
    </w:p>
    <w:p w:rsidR="00F06923" w:rsidRPr="00F06923" w:rsidRDefault="00F06923" w:rsidP="00E16B14">
      <w:pPr>
        <w:spacing w:after="0" w:line="240" w:lineRule="auto"/>
        <w:contextualSpacing/>
        <w:jc w:val="center"/>
        <w:rPr>
          <w:rFonts w:ascii="Times New Roman" w:hAnsi="Times New Roman"/>
          <w:b/>
          <w:sz w:val="20"/>
          <w:szCs w:val="20"/>
        </w:rPr>
      </w:pPr>
      <w:r w:rsidRPr="00F06923">
        <w:rPr>
          <w:rFonts w:ascii="Times New Roman" w:hAnsi="Times New Roman"/>
          <w:b/>
          <w:sz w:val="20"/>
          <w:szCs w:val="20"/>
        </w:rPr>
        <w:t>Tamika P. La Salle</w:t>
      </w:r>
    </w:p>
    <w:p w:rsidR="00F06923" w:rsidRDefault="00F06923" w:rsidP="00E16B14">
      <w:pPr>
        <w:spacing w:after="0" w:line="240" w:lineRule="auto"/>
        <w:contextualSpacing/>
        <w:jc w:val="center"/>
        <w:rPr>
          <w:rFonts w:ascii="Times New Roman" w:hAnsi="Times New Roman"/>
          <w:i/>
          <w:sz w:val="20"/>
          <w:szCs w:val="20"/>
        </w:rPr>
      </w:pPr>
      <w:r w:rsidRPr="00F06923">
        <w:rPr>
          <w:rFonts w:ascii="Times New Roman" w:hAnsi="Times New Roman"/>
          <w:i/>
          <w:sz w:val="20"/>
          <w:szCs w:val="20"/>
        </w:rPr>
        <w:t>Georgia State University</w:t>
      </w:r>
    </w:p>
    <w:p w:rsidR="00F06923" w:rsidRPr="00F06923" w:rsidRDefault="00F06923" w:rsidP="00E16B14">
      <w:pPr>
        <w:spacing w:after="0" w:line="240" w:lineRule="auto"/>
        <w:contextualSpacing/>
        <w:jc w:val="center"/>
        <w:rPr>
          <w:rFonts w:ascii="Times New Roman" w:hAnsi="Times New Roman"/>
          <w:i/>
          <w:sz w:val="20"/>
          <w:szCs w:val="20"/>
        </w:rPr>
      </w:pPr>
    </w:p>
    <w:p w:rsidR="00F06923" w:rsidRPr="00F06923" w:rsidRDefault="00F06923" w:rsidP="00E16B14">
      <w:pPr>
        <w:spacing w:after="0" w:line="240" w:lineRule="auto"/>
        <w:contextualSpacing/>
        <w:jc w:val="center"/>
        <w:rPr>
          <w:rFonts w:ascii="Times New Roman" w:hAnsi="Times New Roman"/>
          <w:b/>
          <w:sz w:val="20"/>
          <w:szCs w:val="20"/>
        </w:rPr>
      </w:pPr>
      <w:r w:rsidRPr="00F06923">
        <w:rPr>
          <w:rFonts w:ascii="Times New Roman" w:hAnsi="Times New Roman"/>
          <w:b/>
          <w:sz w:val="20"/>
          <w:szCs w:val="20"/>
        </w:rPr>
        <w:t>Andrew T. Roach</w:t>
      </w:r>
    </w:p>
    <w:p w:rsidR="00F06923" w:rsidRPr="00F06923" w:rsidRDefault="00F06923" w:rsidP="00E16B14">
      <w:pPr>
        <w:spacing w:after="0" w:line="240" w:lineRule="auto"/>
        <w:contextualSpacing/>
        <w:jc w:val="center"/>
        <w:rPr>
          <w:rFonts w:ascii="Times New Roman" w:hAnsi="Times New Roman"/>
          <w:i/>
          <w:sz w:val="20"/>
          <w:szCs w:val="20"/>
        </w:rPr>
      </w:pPr>
      <w:r w:rsidRPr="00F06923">
        <w:rPr>
          <w:rFonts w:ascii="Times New Roman" w:hAnsi="Times New Roman"/>
          <w:i/>
          <w:sz w:val="20"/>
          <w:szCs w:val="20"/>
        </w:rPr>
        <w:t>Arizona State University</w:t>
      </w:r>
    </w:p>
    <w:p w:rsidR="002B000E" w:rsidRDefault="002B000E" w:rsidP="00E16B14">
      <w:pPr>
        <w:spacing w:after="0" w:line="240" w:lineRule="auto"/>
        <w:contextualSpacing/>
        <w:jc w:val="center"/>
        <w:rPr>
          <w:rFonts w:ascii="Times New Roman" w:hAnsi="Times New Roman"/>
          <w:sz w:val="20"/>
          <w:szCs w:val="20"/>
        </w:rPr>
      </w:pPr>
    </w:p>
    <w:p w:rsidR="00496A03" w:rsidRPr="002B000E" w:rsidRDefault="002B000E" w:rsidP="00E16B14">
      <w:pPr>
        <w:spacing w:after="0" w:line="240" w:lineRule="auto"/>
        <w:contextualSpacing/>
        <w:jc w:val="center"/>
        <w:rPr>
          <w:rFonts w:ascii="Times New Roman" w:hAnsi="Times New Roman"/>
          <w:b/>
          <w:sz w:val="20"/>
          <w:szCs w:val="20"/>
        </w:rPr>
      </w:pPr>
      <w:r w:rsidRPr="002B000E">
        <w:rPr>
          <w:rFonts w:ascii="Times New Roman" w:hAnsi="Times New Roman"/>
          <w:b/>
          <w:sz w:val="20"/>
          <w:szCs w:val="20"/>
        </w:rPr>
        <w:t>Dawn McGrath</w:t>
      </w:r>
    </w:p>
    <w:p w:rsidR="00C262AF" w:rsidRPr="00F06923" w:rsidRDefault="00C262AF" w:rsidP="00E16B14">
      <w:pPr>
        <w:spacing w:after="0" w:line="240" w:lineRule="auto"/>
        <w:ind w:firstLine="720"/>
        <w:contextualSpacing/>
        <w:jc w:val="both"/>
        <w:rPr>
          <w:rFonts w:ascii="Times New Roman" w:hAnsi="Times New Roman"/>
          <w:sz w:val="20"/>
          <w:szCs w:val="20"/>
        </w:rPr>
      </w:pPr>
    </w:p>
    <w:p w:rsidR="00C262AF" w:rsidRPr="00F06923" w:rsidRDefault="00C262AF" w:rsidP="00E16B14">
      <w:pPr>
        <w:spacing w:after="0" w:line="240" w:lineRule="auto"/>
        <w:contextualSpacing/>
        <w:jc w:val="both"/>
        <w:rPr>
          <w:rFonts w:ascii="Times New Roman" w:hAnsi="Times New Roman"/>
          <w:sz w:val="20"/>
          <w:szCs w:val="20"/>
        </w:rPr>
      </w:pPr>
    </w:p>
    <w:p w:rsidR="00AA0EB2" w:rsidRPr="00E16B14" w:rsidRDefault="00AA0EB2" w:rsidP="00E16B14">
      <w:pPr>
        <w:autoSpaceDE w:val="0"/>
        <w:autoSpaceDN w:val="0"/>
        <w:adjustRightInd w:val="0"/>
        <w:spacing w:after="0" w:line="240" w:lineRule="auto"/>
        <w:ind w:left="720" w:right="720"/>
        <w:jc w:val="both"/>
        <w:rPr>
          <w:rFonts w:ascii="Times New Roman" w:hAnsi="Times New Roman"/>
          <w:i/>
          <w:sz w:val="20"/>
          <w:szCs w:val="20"/>
        </w:rPr>
      </w:pPr>
      <w:r w:rsidRPr="00E16B14">
        <w:rPr>
          <w:rFonts w:ascii="Times New Roman" w:hAnsi="Times New Roman"/>
          <w:i/>
          <w:sz w:val="20"/>
          <w:szCs w:val="20"/>
        </w:rPr>
        <w:t xml:space="preserve">The purpose of this study was to investigate the quality of Individualized Education Programs (IEPs) and </w:t>
      </w:r>
      <w:r w:rsidR="00EB05C4" w:rsidRPr="00E16B14">
        <w:rPr>
          <w:rFonts w:ascii="Times New Roman" w:hAnsi="Times New Roman"/>
          <w:i/>
          <w:sz w:val="20"/>
          <w:szCs w:val="20"/>
        </w:rPr>
        <w:t xml:space="preserve">its influence on academic achievement, inclusion in general education </w:t>
      </w:r>
      <w:proofErr w:type="gramStart"/>
      <w:r w:rsidR="00EB05C4" w:rsidRPr="00E16B14">
        <w:rPr>
          <w:rFonts w:ascii="Times New Roman" w:hAnsi="Times New Roman"/>
          <w:i/>
          <w:sz w:val="20"/>
          <w:szCs w:val="20"/>
        </w:rPr>
        <w:t>classrooms,</w:t>
      </w:r>
      <w:proofErr w:type="gramEnd"/>
      <w:r w:rsidR="00EB05C4" w:rsidRPr="00E16B14">
        <w:rPr>
          <w:rFonts w:ascii="Times New Roman" w:hAnsi="Times New Roman"/>
          <w:i/>
          <w:sz w:val="20"/>
          <w:szCs w:val="20"/>
        </w:rPr>
        <w:t xml:space="preserve"> and</w:t>
      </w:r>
      <w:r w:rsidRPr="00E16B14">
        <w:rPr>
          <w:rFonts w:ascii="Times New Roman" w:hAnsi="Times New Roman"/>
          <w:i/>
          <w:sz w:val="20"/>
          <w:szCs w:val="20"/>
        </w:rPr>
        <w:t xml:space="preserve"> curricular access for students with disabilities</w:t>
      </w:r>
      <w:r w:rsidR="00C42D4A" w:rsidRPr="00E16B14">
        <w:rPr>
          <w:rFonts w:ascii="Times New Roman" w:hAnsi="Times New Roman"/>
          <w:i/>
          <w:sz w:val="20"/>
          <w:szCs w:val="20"/>
        </w:rPr>
        <w:t>.</w:t>
      </w:r>
      <w:r w:rsidRPr="00E16B14">
        <w:rPr>
          <w:rFonts w:ascii="Times New Roman" w:hAnsi="Times New Roman"/>
          <w:i/>
          <w:sz w:val="20"/>
          <w:szCs w:val="20"/>
        </w:rPr>
        <w:t xml:space="preserve"> </w:t>
      </w:r>
      <w:r w:rsidR="009A33AE" w:rsidRPr="00E16B14">
        <w:rPr>
          <w:rFonts w:ascii="Times New Roman" w:hAnsi="Times New Roman"/>
          <w:i/>
          <w:sz w:val="20"/>
          <w:szCs w:val="20"/>
        </w:rPr>
        <w:t xml:space="preserve">130 teachers from the state of Indiana were asked to submit the most recent IEP of one of their students in either elementary or middle school who (a) had an identified disability and (b) achieved the lowest level of proficiency on the statewide standardized assessment. </w:t>
      </w:r>
      <w:r w:rsidR="00580C73" w:rsidRPr="00E16B14">
        <w:rPr>
          <w:rFonts w:ascii="Times New Roman" w:hAnsi="Times New Roman"/>
          <w:i/>
          <w:sz w:val="20"/>
          <w:szCs w:val="20"/>
        </w:rPr>
        <w:t xml:space="preserve">Teachers also were asked complete the Curriculum Indicators Survey (CIS) which provided information about their student’s curriculum and instructional experiences. </w:t>
      </w:r>
      <w:r w:rsidR="001C6B53" w:rsidRPr="00E16B14">
        <w:rPr>
          <w:rFonts w:ascii="Times New Roman" w:hAnsi="Times New Roman"/>
          <w:bCs/>
          <w:i/>
          <w:sz w:val="20"/>
          <w:szCs w:val="20"/>
        </w:rPr>
        <w:t>Ratings</w:t>
      </w:r>
      <w:r w:rsidR="00123AF6" w:rsidRPr="00E16B14">
        <w:rPr>
          <w:rFonts w:ascii="Times New Roman" w:hAnsi="Times New Roman"/>
          <w:bCs/>
          <w:i/>
          <w:sz w:val="20"/>
          <w:szCs w:val="20"/>
        </w:rPr>
        <w:t xml:space="preserve"> </w:t>
      </w:r>
      <w:r w:rsidR="00C173B4" w:rsidRPr="00E16B14">
        <w:rPr>
          <w:rFonts w:ascii="Times New Roman" w:hAnsi="Times New Roman"/>
          <w:bCs/>
          <w:i/>
          <w:color w:val="000000"/>
          <w:sz w:val="20"/>
          <w:szCs w:val="20"/>
        </w:rPr>
        <w:t>from</w:t>
      </w:r>
      <w:r w:rsidR="002C470C" w:rsidRPr="00E16B14">
        <w:rPr>
          <w:rFonts w:ascii="Times New Roman" w:hAnsi="Times New Roman"/>
          <w:bCs/>
          <w:i/>
          <w:color w:val="000000"/>
          <w:sz w:val="20"/>
          <w:szCs w:val="20"/>
        </w:rPr>
        <w:t xml:space="preserve"> </w:t>
      </w:r>
      <w:r w:rsidR="00123AF6" w:rsidRPr="00E16B14">
        <w:rPr>
          <w:rFonts w:ascii="Times New Roman" w:hAnsi="Times New Roman"/>
          <w:bCs/>
          <w:i/>
          <w:color w:val="000000"/>
          <w:sz w:val="20"/>
          <w:szCs w:val="20"/>
        </w:rPr>
        <w:t xml:space="preserve">the </w:t>
      </w:r>
      <w:r w:rsidRPr="00E16B14">
        <w:rPr>
          <w:rFonts w:ascii="Times New Roman" w:hAnsi="Times New Roman"/>
          <w:bCs/>
          <w:i/>
          <w:color w:val="000000"/>
          <w:sz w:val="20"/>
          <w:szCs w:val="20"/>
        </w:rPr>
        <w:t xml:space="preserve">IEP analysis tool </w:t>
      </w:r>
      <w:r w:rsidR="00580C73" w:rsidRPr="00E16B14">
        <w:rPr>
          <w:rFonts w:ascii="Times New Roman" w:hAnsi="Times New Roman"/>
          <w:bCs/>
          <w:i/>
          <w:color w:val="000000"/>
          <w:sz w:val="20"/>
          <w:szCs w:val="20"/>
        </w:rPr>
        <w:t xml:space="preserve">developed for and </w:t>
      </w:r>
      <w:r w:rsidR="00123AF6" w:rsidRPr="00E16B14">
        <w:rPr>
          <w:rFonts w:ascii="Times New Roman" w:hAnsi="Times New Roman"/>
          <w:bCs/>
          <w:i/>
          <w:color w:val="000000"/>
          <w:sz w:val="20"/>
          <w:szCs w:val="20"/>
        </w:rPr>
        <w:t xml:space="preserve">used in this study </w:t>
      </w:r>
      <w:r w:rsidRPr="00E16B14">
        <w:rPr>
          <w:rFonts w:ascii="Times New Roman" w:hAnsi="Times New Roman"/>
          <w:bCs/>
          <w:i/>
          <w:color w:val="000000"/>
          <w:sz w:val="20"/>
          <w:szCs w:val="20"/>
        </w:rPr>
        <w:t>suggest that students’ IEP goals</w:t>
      </w:r>
      <w:r w:rsidR="00580C73" w:rsidRPr="00E16B14">
        <w:rPr>
          <w:rFonts w:ascii="Times New Roman" w:hAnsi="Times New Roman"/>
          <w:bCs/>
          <w:i/>
          <w:color w:val="000000"/>
          <w:sz w:val="20"/>
          <w:szCs w:val="20"/>
        </w:rPr>
        <w:t xml:space="preserve"> were</w:t>
      </w:r>
      <w:r w:rsidRPr="00E16B14">
        <w:rPr>
          <w:rFonts w:ascii="Times New Roman" w:hAnsi="Times New Roman"/>
          <w:bCs/>
          <w:i/>
          <w:color w:val="000000"/>
          <w:sz w:val="20"/>
          <w:szCs w:val="20"/>
        </w:rPr>
        <w:t xml:space="preserve"> of variable quality</w:t>
      </w:r>
      <w:r w:rsidR="00123AF6" w:rsidRPr="00E16B14">
        <w:rPr>
          <w:rFonts w:ascii="Times New Roman" w:hAnsi="Times New Roman"/>
          <w:bCs/>
          <w:i/>
          <w:color w:val="000000"/>
          <w:sz w:val="20"/>
          <w:szCs w:val="20"/>
        </w:rPr>
        <w:t xml:space="preserve"> across grade bands</w:t>
      </w:r>
      <w:r w:rsidRPr="00E16B14">
        <w:rPr>
          <w:rFonts w:ascii="Times New Roman" w:hAnsi="Times New Roman"/>
          <w:bCs/>
          <w:i/>
          <w:color w:val="000000"/>
          <w:sz w:val="20"/>
          <w:szCs w:val="20"/>
        </w:rPr>
        <w:t xml:space="preserve">.  </w:t>
      </w:r>
      <w:r w:rsidRPr="00E16B14">
        <w:rPr>
          <w:rFonts w:ascii="Times New Roman" w:hAnsi="Times New Roman"/>
          <w:bCs/>
          <w:i/>
          <w:sz w:val="20"/>
          <w:szCs w:val="20"/>
        </w:rPr>
        <w:t xml:space="preserve">Academic-focused IEP goals were more likely to include sufficient information about links to the curriculum standards and progress monitoring strategies, but less frequently included sufficient information about students’ present levels of performance (PLOP) and the relevance of IEP goals to the students’ educational needs.  Additionally, </w:t>
      </w:r>
      <w:r w:rsidR="00EB05C4" w:rsidRPr="00E16B14">
        <w:rPr>
          <w:rFonts w:ascii="Times New Roman" w:hAnsi="Times New Roman"/>
          <w:bCs/>
          <w:i/>
          <w:sz w:val="20"/>
          <w:szCs w:val="20"/>
        </w:rPr>
        <w:t>the quality of progress monitoring information in academic-focused IEP goals demonstrated a negative association with student achievement. IEP quality demonstrated no significant relationship to inclusion in general education classrooms or two measures of curricular access</w:t>
      </w:r>
      <w:r w:rsidRPr="00E16B14">
        <w:rPr>
          <w:rFonts w:ascii="Times New Roman" w:hAnsi="Times New Roman"/>
          <w:bCs/>
          <w:i/>
          <w:sz w:val="20"/>
          <w:szCs w:val="20"/>
        </w:rPr>
        <w:t>.</w:t>
      </w:r>
    </w:p>
    <w:p w:rsidR="00AA0EB2" w:rsidRPr="00F06923" w:rsidRDefault="00AA0EB2" w:rsidP="00E16B14">
      <w:pPr>
        <w:spacing w:after="0" w:line="240" w:lineRule="auto"/>
        <w:ind w:firstLine="720"/>
        <w:contextualSpacing/>
        <w:jc w:val="both"/>
        <w:rPr>
          <w:rFonts w:ascii="Times New Roman" w:hAnsi="Times New Roman"/>
          <w:sz w:val="20"/>
          <w:szCs w:val="20"/>
        </w:rPr>
      </w:pPr>
    </w:p>
    <w:p w:rsidR="00E16B14" w:rsidRDefault="00E16B14" w:rsidP="00E16B14">
      <w:pPr>
        <w:autoSpaceDE w:val="0"/>
        <w:autoSpaceDN w:val="0"/>
        <w:adjustRightInd w:val="0"/>
        <w:spacing w:after="0" w:line="240" w:lineRule="auto"/>
        <w:jc w:val="both"/>
        <w:rPr>
          <w:rFonts w:ascii="Times New Roman" w:hAnsi="Times New Roman"/>
          <w:b/>
          <w:sz w:val="20"/>
          <w:szCs w:val="20"/>
        </w:rPr>
      </w:pPr>
    </w:p>
    <w:p w:rsidR="00E049A2" w:rsidRPr="005C7EDB" w:rsidRDefault="0004144C" w:rsidP="00E16B14">
      <w:pPr>
        <w:autoSpaceDE w:val="0"/>
        <w:autoSpaceDN w:val="0"/>
        <w:adjustRightInd w:val="0"/>
        <w:spacing w:after="0" w:line="240" w:lineRule="auto"/>
        <w:jc w:val="both"/>
        <w:rPr>
          <w:rFonts w:ascii="Times New Roman" w:hAnsi="Times New Roman"/>
          <w:i/>
          <w:sz w:val="20"/>
          <w:szCs w:val="20"/>
        </w:rPr>
      </w:pPr>
      <w:r w:rsidRPr="00F06923">
        <w:rPr>
          <w:rFonts w:ascii="Times New Roman" w:hAnsi="Times New Roman"/>
          <w:sz w:val="20"/>
          <w:szCs w:val="20"/>
        </w:rPr>
        <w:t>Changes in United States educational</w:t>
      </w:r>
      <w:r w:rsidR="00353CB3" w:rsidRPr="00F06923">
        <w:rPr>
          <w:rFonts w:ascii="Times New Roman" w:hAnsi="Times New Roman"/>
          <w:sz w:val="20"/>
          <w:szCs w:val="20"/>
        </w:rPr>
        <w:t xml:space="preserve"> policy </w:t>
      </w:r>
      <w:r w:rsidR="000B542E" w:rsidRPr="00F06923">
        <w:rPr>
          <w:rFonts w:ascii="Times New Roman" w:hAnsi="Times New Roman"/>
          <w:sz w:val="20"/>
          <w:szCs w:val="20"/>
        </w:rPr>
        <w:t xml:space="preserve">included in </w:t>
      </w:r>
      <w:r w:rsidR="008639DD" w:rsidRPr="00F06923">
        <w:rPr>
          <w:rFonts w:ascii="Times New Roman" w:hAnsi="Times New Roman"/>
          <w:sz w:val="20"/>
          <w:szCs w:val="20"/>
        </w:rPr>
        <w:t>the</w:t>
      </w:r>
      <w:r w:rsidR="002C470C" w:rsidRPr="00F06923">
        <w:rPr>
          <w:rFonts w:ascii="Times New Roman" w:hAnsi="Times New Roman"/>
          <w:sz w:val="20"/>
          <w:szCs w:val="20"/>
        </w:rPr>
        <w:t xml:space="preserve"> 2004 Reauthorization of the</w:t>
      </w:r>
      <w:r w:rsidR="008639DD" w:rsidRPr="00F06923">
        <w:rPr>
          <w:rFonts w:ascii="Times New Roman" w:hAnsi="Times New Roman"/>
          <w:sz w:val="20"/>
          <w:szCs w:val="20"/>
        </w:rPr>
        <w:t xml:space="preserve"> Individuals with Disabilities Education Act (IDEA</w:t>
      </w:r>
      <w:r w:rsidR="001E3839" w:rsidRPr="00F06923">
        <w:rPr>
          <w:rFonts w:ascii="Times New Roman" w:hAnsi="Times New Roman"/>
          <w:sz w:val="20"/>
          <w:szCs w:val="20"/>
        </w:rPr>
        <w:t>)</w:t>
      </w:r>
      <w:r w:rsidR="008639DD" w:rsidRPr="00F06923">
        <w:rPr>
          <w:rFonts w:ascii="Times New Roman" w:hAnsi="Times New Roman"/>
          <w:sz w:val="20"/>
          <w:szCs w:val="20"/>
        </w:rPr>
        <w:t xml:space="preserve"> and </w:t>
      </w:r>
      <w:r w:rsidR="002C470C" w:rsidRPr="00F06923">
        <w:rPr>
          <w:rFonts w:ascii="Times New Roman" w:hAnsi="Times New Roman"/>
          <w:sz w:val="20"/>
          <w:szCs w:val="20"/>
        </w:rPr>
        <w:t xml:space="preserve">the </w:t>
      </w:r>
      <w:r w:rsidR="008639DD" w:rsidRPr="00F06923">
        <w:rPr>
          <w:rFonts w:ascii="Times New Roman" w:hAnsi="Times New Roman"/>
          <w:sz w:val="20"/>
          <w:szCs w:val="20"/>
        </w:rPr>
        <w:t xml:space="preserve">No Child left Behind </w:t>
      </w:r>
      <w:r w:rsidR="002C470C" w:rsidRPr="00F06923">
        <w:rPr>
          <w:rFonts w:ascii="Times New Roman" w:hAnsi="Times New Roman"/>
          <w:sz w:val="20"/>
          <w:szCs w:val="20"/>
        </w:rPr>
        <w:t xml:space="preserve">Act </w:t>
      </w:r>
      <w:r w:rsidR="008639DD" w:rsidRPr="00F06923">
        <w:rPr>
          <w:rFonts w:ascii="Times New Roman" w:hAnsi="Times New Roman"/>
          <w:sz w:val="20"/>
          <w:szCs w:val="20"/>
        </w:rPr>
        <w:t xml:space="preserve">(NCLB) </w:t>
      </w:r>
      <w:r w:rsidR="002270B7" w:rsidRPr="00F06923">
        <w:rPr>
          <w:rFonts w:ascii="Times New Roman" w:hAnsi="Times New Roman"/>
          <w:sz w:val="20"/>
          <w:szCs w:val="20"/>
        </w:rPr>
        <w:t>are intended to promote increased</w:t>
      </w:r>
      <w:r w:rsidR="00353CB3" w:rsidRPr="00F06923">
        <w:rPr>
          <w:rFonts w:ascii="Times New Roman" w:hAnsi="Times New Roman"/>
          <w:sz w:val="20"/>
          <w:szCs w:val="20"/>
        </w:rPr>
        <w:t xml:space="preserve"> access to the</w:t>
      </w:r>
      <w:r w:rsidR="002270B7" w:rsidRPr="00F06923">
        <w:rPr>
          <w:rFonts w:ascii="Times New Roman" w:hAnsi="Times New Roman"/>
          <w:sz w:val="20"/>
          <w:szCs w:val="20"/>
        </w:rPr>
        <w:t xml:space="preserve"> general</w:t>
      </w:r>
      <w:r w:rsidR="005C438B" w:rsidRPr="00F06923">
        <w:rPr>
          <w:rFonts w:ascii="Times New Roman" w:hAnsi="Times New Roman"/>
          <w:sz w:val="20"/>
          <w:szCs w:val="20"/>
        </w:rPr>
        <w:t xml:space="preserve"> education</w:t>
      </w:r>
      <w:r w:rsidR="00353CB3" w:rsidRPr="00F06923">
        <w:rPr>
          <w:rFonts w:ascii="Times New Roman" w:hAnsi="Times New Roman"/>
          <w:sz w:val="20"/>
          <w:szCs w:val="20"/>
        </w:rPr>
        <w:t xml:space="preserve"> curriculum and </w:t>
      </w:r>
      <w:r w:rsidR="005C438B" w:rsidRPr="00F06923">
        <w:rPr>
          <w:rFonts w:ascii="Times New Roman" w:hAnsi="Times New Roman"/>
          <w:sz w:val="20"/>
          <w:szCs w:val="20"/>
        </w:rPr>
        <w:t>improved academic performance</w:t>
      </w:r>
      <w:r w:rsidR="00353CB3" w:rsidRPr="00F06923">
        <w:rPr>
          <w:rFonts w:ascii="Times New Roman" w:hAnsi="Times New Roman"/>
          <w:sz w:val="20"/>
          <w:szCs w:val="20"/>
        </w:rPr>
        <w:t xml:space="preserve"> for students with disabilities. </w:t>
      </w:r>
      <w:r w:rsidR="005C438B" w:rsidRPr="00F06923">
        <w:rPr>
          <w:rFonts w:ascii="Times New Roman" w:hAnsi="Times New Roman"/>
          <w:sz w:val="20"/>
          <w:szCs w:val="20"/>
        </w:rPr>
        <w:t xml:space="preserve"> T</w:t>
      </w:r>
      <w:r w:rsidR="00990874" w:rsidRPr="00F06923">
        <w:rPr>
          <w:rFonts w:ascii="Times New Roman" w:hAnsi="Times New Roman"/>
          <w:sz w:val="20"/>
          <w:szCs w:val="20"/>
        </w:rPr>
        <w:t>he</w:t>
      </w:r>
      <w:r w:rsidR="000B542E" w:rsidRPr="00F06923">
        <w:rPr>
          <w:rFonts w:ascii="Times New Roman" w:hAnsi="Times New Roman"/>
          <w:sz w:val="20"/>
          <w:szCs w:val="20"/>
        </w:rPr>
        <w:t>se</w:t>
      </w:r>
      <w:r w:rsidR="00990874" w:rsidRPr="00F06923">
        <w:rPr>
          <w:rFonts w:ascii="Times New Roman" w:hAnsi="Times New Roman"/>
          <w:sz w:val="20"/>
          <w:szCs w:val="20"/>
        </w:rPr>
        <w:t xml:space="preserve"> </w:t>
      </w:r>
      <w:r w:rsidR="000B542E" w:rsidRPr="00F06923">
        <w:rPr>
          <w:rFonts w:ascii="Times New Roman" w:hAnsi="Times New Roman"/>
          <w:sz w:val="20"/>
          <w:szCs w:val="20"/>
        </w:rPr>
        <w:t xml:space="preserve">policy </w:t>
      </w:r>
      <w:r w:rsidR="00990874" w:rsidRPr="00F06923">
        <w:rPr>
          <w:rFonts w:ascii="Times New Roman" w:hAnsi="Times New Roman"/>
          <w:sz w:val="20"/>
          <w:szCs w:val="20"/>
        </w:rPr>
        <w:t xml:space="preserve">mandates have </w:t>
      </w:r>
      <w:r w:rsidR="005C438B" w:rsidRPr="00F06923">
        <w:rPr>
          <w:rFonts w:ascii="Times New Roman" w:hAnsi="Times New Roman"/>
          <w:sz w:val="20"/>
          <w:szCs w:val="20"/>
        </w:rPr>
        <w:t xml:space="preserve">clearly </w:t>
      </w:r>
      <w:r w:rsidR="00990874" w:rsidRPr="00F06923">
        <w:rPr>
          <w:rFonts w:ascii="Times New Roman" w:hAnsi="Times New Roman"/>
          <w:sz w:val="20"/>
          <w:szCs w:val="20"/>
        </w:rPr>
        <w:t>resulted in increased participation in state and district accountability systems for students with disabilities</w:t>
      </w:r>
      <w:r w:rsidR="005C438B" w:rsidRPr="00F06923">
        <w:rPr>
          <w:rFonts w:ascii="Times New Roman" w:hAnsi="Times New Roman"/>
          <w:sz w:val="20"/>
          <w:szCs w:val="20"/>
        </w:rPr>
        <w:t xml:space="preserve"> (Altman et al., 2010)</w:t>
      </w:r>
      <w:r w:rsidR="00990874" w:rsidRPr="00F06923">
        <w:rPr>
          <w:rFonts w:ascii="Times New Roman" w:hAnsi="Times New Roman"/>
          <w:sz w:val="20"/>
          <w:szCs w:val="20"/>
        </w:rPr>
        <w:t xml:space="preserve">. </w:t>
      </w:r>
      <w:r w:rsidR="005C438B" w:rsidRPr="00F06923">
        <w:rPr>
          <w:rFonts w:ascii="Times New Roman" w:hAnsi="Times New Roman"/>
          <w:sz w:val="20"/>
          <w:szCs w:val="20"/>
        </w:rPr>
        <w:t>However, there is less definitive evidence that these policies have resulted in improved opportunities to learn</w:t>
      </w:r>
      <w:r w:rsidR="00D82CD0" w:rsidRPr="00F06923">
        <w:rPr>
          <w:rFonts w:ascii="Times New Roman" w:hAnsi="Times New Roman"/>
          <w:sz w:val="20"/>
          <w:szCs w:val="20"/>
        </w:rPr>
        <w:t xml:space="preserve"> </w:t>
      </w:r>
      <w:r w:rsidR="005C438B" w:rsidRPr="00F06923">
        <w:rPr>
          <w:rFonts w:ascii="Times New Roman" w:hAnsi="Times New Roman"/>
          <w:sz w:val="20"/>
          <w:szCs w:val="20"/>
        </w:rPr>
        <w:t xml:space="preserve">and </w:t>
      </w:r>
      <w:r w:rsidR="00C173B4" w:rsidRPr="00F06923">
        <w:rPr>
          <w:rFonts w:ascii="Times New Roman" w:hAnsi="Times New Roman"/>
          <w:sz w:val="20"/>
          <w:szCs w:val="20"/>
        </w:rPr>
        <w:t xml:space="preserve">academic gains </w:t>
      </w:r>
      <w:r w:rsidR="005C438B" w:rsidRPr="00F06923">
        <w:rPr>
          <w:rFonts w:ascii="Times New Roman" w:hAnsi="Times New Roman"/>
          <w:sz w:val="20"/>
          <w:szCs w:val="20"/>
        </w:rPr>
        <w:t>as measured</w:t>
      </w:r>
      <w:r w:rsidR="00D82CD0" w:rsidRPr="00F06923">
        <w:rPr>
          <w:rFonts w:ascii="Times New Roman" w:hAnsi="Times New Roman"/>
          <w:sz w:val="20"/>
          <w:szCs w:val="20"/>
        </w:rPr>
        <w:t xml:space="preserve"> state standardized assessments</w:t>
      </w:r>
      <w:r w:rsidR="00C173B4" w:rsidRPr="00F06923">
        <w:rPr>
          <w:rFonts w:ascii="Times New Roman" w:hAnsi="Times New Roman"/>
          <w:sz w:val="20"/>
          <w:szCs w:val="20"/>
        </w:rPr>
        <w:t xml:space="preserve"> for students with disabilities. </w:t>
      </w:r>
      <w:r w:rsidR="00D82CD0" w:rsidRPr="00F06923">
        <w:rPr>
          <w:rFonts w:ascii="Times New Roman" w:hAnsi="Times New Roman"/>
          <w:sz w:val="20"/>
          <w:szCs w:val="20"/>
        </w:rPr>
        <w:t xml:space="preserve"> </w:t>
      </w:r>
      <w:proofErr w:type="spellStart"/>
      <w:r w:rsidR="00E049A2" w:rsidRPr="00F06923">
        <w:rPr>
          <w:rFonts w:ascii="Times New Roman" w:hAnsi="Times New Roman"/>
          <w:sz w:val="20"/>
          <w:szCs w:val="20"/>
        </w:rPr>
        <w:t>McCausland’s</w:t>
      </w:r>
      <w:proofErr w:type="spellEnd"/>
      <w:r w:rsidR="00E049A2" w:rsidRPr="00F06923">
        <w:rPr>
          <w:rFonts w:ascii="Times New Roman" w:hAnsi="Times New Roman"/>
          <w:sz w:val="20"/>
          <w:szCs w:val="20"/>
        </w:rPr>
        <w:t xml:space="preserve"> (2005) review of IEP policies and research in Ireland, Australia, New Zealand, Canada, the United Kingdom, and the United States indicated a </w:t>
      </w:r>
      <w:r w:rsidR="00E049A2" w:rsidRPr="005C7EDB">
        <w:rPr>
          <w:rFonts w:ascii="Times New Roman" w:hAnsi="Times New Roman"/>
          <w:i/>
          <w:sz w:val="20"/>
          <w:szCs w:val="20"/>
        </w:rPr>
        <w:t>key aspect of IEP policies examined is that they all stipulate that children with (disabilities) for whom IEPs are developed should continue to have their education</w:t>
      </w:r>
    </w:p>
    <w:p w:rsidR="00181D9D" w:rsidRPr="00F06923" w:rsidRDefault="00E049A2" w:rsidP="00E16B14">
      <w:pPr>
        <w:spacing w:after="0" w:line="240" w:lineRule="auto"/>
        <w:contextualSpacing/>
        <w:jc w:val="both"/>
        <w:rPr>
          <w:rFonts w:ascii="Times New Roman" w:hAnsi="Times New Roman"/>
          <w:sz w:val="20"/>
          <w:szCs w:val="20"/>
        </w:rPr>
      </w:pPr>
      <w:proofErr w:type="gramStart"/>
      <w:r w:rsidRPr="005C7EDB">
        <w:rPr>
          <w:rFonts w:ascii="Times New Roman" w:hAnsi="Times New Roman"/>
          <w:i/>
          <w:sz w:val="20"/>
          <w:szCs w:val="20"/>
        </w:rPr>
        <w:t>based</w:t>
      </w:r>
      <w:proofErr w:type="gramEnd"/>
      <w:r w:rsidRPr="005C7EDB">
        <w:rPr>
          <w:rFonts w:ascii="Times New Roman" w:hAnsi="Times New Roman"/>
          <w:i/>
          <w:sz w:val="20"/>
          <w:szCs w:val="20"/>
        </w:rPr>
        <w:t xml:space="preserve"> on the standard/general curriculum</w:t>
      </w:r>
      <w:r w:rsidRPr="00F06923">
        <w:rPr>
          <w:rFonts w:ascii="Times New Roman" w:hAnsi="Times New Roman"/>
          <w:sz w:val="20"/>
          <w:szCs w:val="20"/>
        </w:rPr>
        <w:t xml:space="preserve"> (p. 52). Thus, research that investigates the relationship between IEP quality and curricular access has potential applicability for an international audience. </w:t>
      </w:r>
    </w:p>
    <w:p w:rsidR="00E16B14" w:rsidRDefault="00E16B14" w:rsidP="00E16B14">
      <w:pPr>
        <w:spacing w:after="0" w:line="240" w:lineRule="auto"/>
        <w:contextualSpacing/>
        <w:jc w:val="both"/>
        <w:rPr>
          <w:rFonts w:ascii="Times New Roman" w:hAnsi="Times New Roman"/>
          <w:b/>
          <w:sz w:val="20"/>
          <w:szCs w:val="20"/>
        </w:rPr>
      </w:pPr>
    </w:p>
    <w:p w:rsidR="00101C38" w:rsidRPr="00E16B14" w:rsidRDefault="00101C38" w:rsidP="00E16B14">
      <w:pPr>
        <w:spacing w:after="0" w:line="240" w:lineRule="auto"/>
        <w:contextualSpacing/>
        <w:jc w:val="both"/>
        <w:rPr>
          <w:rFonts w:ascii="Times New Roman" w:hAnsi="Times New Roman"/>
          <w:i/>
          <w:sz w:val="20"/>
          <w:szCs w:val="20"/>
        </w:rPr>
      </w:pPr>
      <w:r w:rsidRPr="00E16B14">
        <w:rPr>
          <w:rFonts w:ascii="Times New Roman" w:hAnsi="Times New Roman"/>
          <w:i/>
          <w:sz w:val="20"/>
          <w:szCs w:val="20"/>
        </w:rPr>
        <w:t>Legal Foundations</w:t>
      </w:r>
      <w:r w:rsidR="005437EE" w:rsidRPr="00E16B14">
        <w:rPr>
          <w:rFonts w:ascii="Times New Roman" w:hAnsi="Times New Roman"/>
          <w:i/>
          <w:sz w:val="20"/>
          <w:szCs w:val="20"/>
        </w:rPr>
        <w:t xml:space="preserve"> for </w:t>
      </w:r>
      <w:r w:rsidR="00EB05C4" w:rsidRPr="00E16B14">
        <w:rPr>
          <w:rFonts w:ascii="Times New Roman" w:hAnsi="Times New Roman"/>
          <w:i/>
          <w:sz w:val="20"/>
          <w:szCs w:val="20"/>
        </w:rPr>
        <w:t>Access to General Education Classrooms and Curriculum</w:t>
      </w:r>
    </w:p>
    <w:p w:rsidR="00101C38" w:rsidRPr="00F06923" w:rsidRDefault="00736969"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A number of</w:t>
      </w:r>
      <w:r w:rsidR="00101C38" w:rsidRPr="00F06923">
        <w:rPr>
          <w:rFonts w:ascii="Times New Roman" w:hAnsi="Times New Roman"/>
          <w:sz w:val="20"/>
          <w:szCs w:val="20"/>
        </w:rPr>
        <w:t xml:space="preserve"> </w:t>
      </w:r>
      <w:r w:rsidR="0004144C" w:rsidRPr="00F06923">
        <w:rPr>
          <w:rFonts w:ascii="Times New Roman" w:hAnsi="Times New Roman"/>
          <w:sz w:val="20"/>
          <w:szCs w:val="20"/>
        </w:rPr>
        <w:t xml:space="preserve">U.S. </w:t>
      </w:r>
      <w:r w:rsidR="00101C38" w:rsidRPr="00F06923">
        <w:rPr>
          <w:rFonts w:ascii="Times New Roman" w:hAnsi="Times New Roman"/>
          <w:sz w:val="20"/>
          <w:szCs w:val="20"/>
        </w:rPr>
        <w:t xml:space="preserve">court cases have </w:t>
      </w:r>
      <w:r w:rsidR="005C438B" w:rsidRPr="00F06923">
        <w:rPr>
          <w:rFonts w:ascii="Times New Roman" w:hAnsi="Times New Roman"/>
          <w:sz w:val="20"/>
          <w:szCs w:val="20"/>
        </w:rPr>
        <w:t xml:space="preserve">established a long-standing </w:t>
      </w:r>
      <w:r w:rsidR="00101C38" w:rsidRPr="00F06923">
        <w:rPr>
          <w:rFonts w:ascii="Times New Roman" w:hAnsi="Times New Roman"/>
          <w:sz w:val="20"/>
          <w:szCs w:val="20"/>
        </w:rPr>
        <w:t xml:space="preserve">precedent for </w:t>
      </w:r>
      <w:r w:rsidR="003C1194" w:rsidRPr="00F06923">
        <w:rPr>
          <w:rFonts w:ascii="Times New Roman" w:hAnsi="Times New Roman"/>
          <w:sz w:val="20"/>
          <w:szCs w:val="20"/>
        </w:rPr>
        <w:t xml:space="preserve">creating more </w:t>
      </w:r>
      <w:r w:rsidR="00101C38" w:rsidRPr="00F06923">
        <w:rPr>
          <w:rFonts w:ascii="Times New Roman" w:hAnsi="Times New Roman"/>
          <w:sz w:val="20"/>
          <w:szCs w:val="20"/>
        </w:rPr>
        <w:t xml:space="preserve">opportunities to learn and </w:t>
      </w:r>
      <w:r w:rsidR="003C1194" w:rsidRPr="00F06923">
        <w:rPr>
          <w:rFonts w:ascii="Times New Roman" w:hAnsi="Times New Roman"/>
          <w:sz w:val="20"/>
          <w:szCs w:val="20"/>
        </w:rPr>
        <w:t xml:space="preserve">increased </w:t>
      </w:r>
      <w:r w:rsidR="00101C38" w:rsidRPr="00F06923">
        <w:rPr>
          <w:rFonts w:ascii="Times New Roman" w:hAnsi="Times New Roman"/>
          <w:sz w:val="20"/>
          <w:szCs w:val="20"/>
        </w:rPr>
        <w:t>access to meaningful, age</w:t>
      </w:r>
      <w:r w:rsidR="003C1194" w:rsidRPr="00F06923">
        <w:rPr>
          <w:rFonts w:ascii="Times New Roman" w:hAnsi="Times New Roman"/>
          <w:sz w:val="20"/>
          <w:szCs w:val="20"/>
        </w:rPr>
        <w:t xml:space="preserve"> and grade appropriate </w:t>
      </w:r>
      <w:r w:rsidR="000E06D7" w:rsidRPr="00F06923">
        <w:rPr>
          <w:rFonts w:ascii="Times New Roman" w:hAnsi="Times New Roman"/>
          <w:sz w:val="20"/>
          <w:szCs w:val="20"/>
        </w:rPr>
        <w:t>curricula</w:t>
      </w:r>
      <w:r w:rsidR="001C6B53" w:rsidRPr="00F06923">
        <w:rPr>
          <w:rFonts w:ascii="Times New Roman" w:hAnsi="Times New Roman"/>
          <w:sz w:val="20"/>
          <w:szCs w:val="20"/>
        </w:rPr>
        <w:t xml:space="preserve"> </w:t>
      </w:r>
      <w:r w:rsidR="003C1194" w:rsidRPr="00F06923">
        <w:rPr>
          <w:rFonts w:ascii="Times New Roman" w:hAnsi="Times New Roman"/>
          <w:sz w:val="20"/>
          <w:szCs w:val="20"/>
        </w:rPr>
        <w:t xml:space="preserve">for </w:t>
      </w:r>
      <w:r w:rsidR="00101C38" w:rsidRPr="00F06923">
        <w:rPr>
          <w:rFonts w:ascii="Times New Roman" w:hAnsi="Times New Roman"/>
          <w:sz w:val="20"/>
          <w:szCs w:val="20"/>
        </w:rPr>
        <w:t xml:space="preserve">students with disabilities. </w:t>
      </w:r>
      <w:r w:rsidR="005437EE" w:rsidRPr="00F06923">
        <w:rPr>
          <w:rFonts w:ascii="Times New Roman" w:hAnsi="Times New Roman"/>
          <w:sz w:val="20"/>
          <w:szCs w:val="20"/>
        </w:rPr>
        <w:t xml:space="preserve">In </w:t>
      </w:r>
      <w:r w:rsidR="00101C38" w:rsidRPr="00F06923">
        <w:rPr>
          <w:rFonts w:ascii="Times New Roman" w:hAnsi="Times New Roman"/>
          <w:sz w:val="20"/>
          <w:szCs w:val="20"/>
        </w:rPr>
        <w:t xml:space="preserve">Debra P. v. </w:t>
      </w:r>
      <w:proofErr w:type="spellStart"/>
      <w:r w:rsidR="00101C38" w:rsidRPr="00F06923">
        <w:rPr>
          <w:rFonts w:ascii="Times New Roman" w:hAnsi="Times New Roman"/>
          <w:sz w:val="20"/>
          <w:szCs w:val="20"/>
        </w:rPr>
        <w:t>Turlington</w:t>
      </w:r>
      <w:proofErr w:type="spellEnd"/>
      <w:r w:rsidR="00101C38" w:rsidRPr="00F06923">
        <w:rPr>
          <w:rFonts w:ascii="Times New Roman" w:hAnsi="Times New Roman"/>
          <w:sz w:val="20"/>
          <w:szCs w:val="20"/>
        </w:rPr>
        <w:t xml:space="preserve"> (1981</w:t>
      </w:r>
      <w:r w:rsidR="001C6B53" w:rsidRPr="00F06923">
        <w:rPr>
          <w:rFonts w:ascii="Times New Roman" w:hAnsi="Times New Roman"/>
          <w:sz w:val="20"/>
          <w:szCs w:val="20"/>
        </w:rPr>
        <w:t>)</w:t>
      </w:r>
      <w:r w:rsidR="005437EE" w:rsidRPr="00F06923">
        <w:rPr>
          <w:rFonts w:ascii="Times New Roman" w:hAnsi="Times New Roman"/>
          <w:sz w:val="20"/>
          <w:szCs w:val="20"/>
        </w:rPr>
        <w:t>, the court</w:t>
      </w:r>
      <w:r w:rsidR="00101C38" w:rsidRPr="00F06923">
        <w:rPr>
          <w:rFonts w:ascii="Times New Roman" w:hAnsi="Times New Roman"/>
          <w:sz w:val="20"/>
          <w:szCs w:val="20"/>
        </w:rPr>
        <w:t xml:space="preserve"> </w:t>
      </w:r>
      <w:r w:rsidR="005437EE" w:rsidRPr="00F06923">
        <w:rPr>
          <w:rFonts w:ascii="Times New Roman" w:hAnsi="Times New Roman"/>
          <w:sz w:val="20"/>
          <w:szCs w:val="20"/>
        </w:rPr>
        <w:t>recognized</w:t>
      </w:r>
      <w:r w:rsidR="00101C38" w:rsidRPr="00F06923">
        <w:rPr>
          <w:rFonts w:ascii="Times New Roman" w:hAnsi="Times New Roman"/>
          <w:sz w:val="20"/>
          <w:szCs w:val="20"/>
        </w:rPr>
        <w:t xml:space="preserve"> for the need to align curri</w:t>
      </w:r>
      <w:r w:rsidRPr="00F06923">
        <w:rPr>
          <w:rFonts w:ascii="Times New Roman" w:hAnsi="Times New Roman"/>
          <w:sz w:val="20"/>
          <w:szCs w:val="20"/>
        </w:rPr>
        <w:t xml:space="preserve">culum content </w:t>
      </w:r>
      <w:r w:rsidR="00101C38" w:rsidRPr="00F06923">
        <w:rPr>
          <w:rFonts w:ascii="Times New Roman" w:hAnsi="Times New Roman"/>
          <w:sz w:val="20"/>
          <w:szCs w:val="20"/>
        </w:rPr>
        <w:t xml:space="preserve">and instruction with the constructs and skills that will be measured on standardized achievement tests. </w:t>
      </w:r>
      <w:r w:rsidR="003C1194" w:rsidRPr="00F06923">
        <w:rPr>
          <w:rFonts w:ascii="Times New Roman" w:hAnsi="Times New Roman"/>
          <w:sz w:val="20"/>
          <w:szCs w:val="20"/>
        </w:rPr>
        <w:t>In the late 1970</w:t>
      </w:r>
      <w:r w:rsidR="00DA05A6" w:rsidRPr="00F06923">
        <w:rPr>
          <w:rFonts w:ascii="Times New Roman" w:hAnsi="Times New Roman"/>
          <w:sz w:val="20"/>
          <w:szCs w:val="20"/>
        </w:rPr>
        <w:t>’</w:t>
      </w:r>
      <w:r w:rsidR="003C1194" w:rsidRPr="00F06923">
        <w:rPr>
          <w:rFonts w:ascii="Times New Roman" w:hAnsi="Times New Roman"/>
          <w:sz w:val="20"/>
          <w:szCs w:val="20"/>
        </w:rPr>
        <w:t>s</w:t>
      </w:r>
      <w:r w:rsidR="005C438B" w:rsidRPr="00F06923">
        <w:rPr>
          <w:rFonts w:ascii="Times New Roman" w:hAnsi="Times New Roman"/>
          <w:sz w:val="20"/>
          <w:szCs w:val="20"/>
        </w:rPr>
        <w:t>,</w:t>
      </w:r>
      <w:r w:rsidR="003C1194" w:rsidRPr="00F06923">
        <w:rPr>
          <w:rFonts w:ascii="Times New Roman" w:hAnsi="Times New Roman"/>
          <w:sz w:val="20"/>
          <w:szCs w:val="20"/>
        </w:rPr>
        <w:t xml:space="preserve"> African American students disproportionately failed the Florida standardized </w:t>
      </w:r>
      <w:r w:rsidR="003C1194" w:rsidRPr="00F06923">
        <w:rPr>
          <w:rFonts w:ascii="Times New Roman" w:hAnsi="Times New Roman"/>
          <w:sz w:val="20"/>
          <w:szCs w:val="20"/>
        </w:rPr>
        <w:lastRenderedPageBreak/>
        <w:t xml:space="preserve">achievement test because they were not allotted access to the curriculum that was assessed on these measures due to placement in remedial classes </w:t>
      </w:r>
      <w:r w:rsidR="001C6B53" w:rsidRPr="00F06923">
        <w:rPr>
          <w:rFonts w:ascii="Times New Roman" w:hAnsi="Times New Roman"/>
          <w:sz w:val="20"/>
          <w:szCs w:val="20"/>
        </w:rPr>
        <w:t>that did not provide instruction on</w:t>
      </w:r>
      <w:r w:rsidR="00DA05A6" w:rsidRPr="00F06923">
        <w:rPr>
          <w:rFonts w:ascii="Times New Roman" w:hAnsi="Times New Roman"/>
          <w:sz w:val="20"/>
          <w:szCs w:val="20"/>
        </w:rPr>
        <w:t xml:space="preserve"> </w:t>
      </w:r>
      <w:r w:rsidR="003C1194" w:rsidRPr="00F06923">
        <w:rPr>
          <w:rFonts w:ascii="Times New Roman" w:hAnsi="Times New Roman"/>
          <w:sz w:val="20"/>
          <w:szCs w:val="20"/>
        </w:rPr>
        <w:t xml:space="preserve">grade level content. </w:t>
      </w:r>
      <w:r w:rsidR="001C6B53" w:rsidRPr="00F06923">
        <w:rPr>
          <w:rFonts w:ascii="Times New Roman" w:hAnsi="Times New Roman"/>
          <w:sz w:val="20"/>
          <w:szCs w:val="20"/>
        </w:rPr>
        <w:t xml:space="preserve">Although the court’s decision mandated that all students must have an equal opportunity to learn the academic content that will be presented on achievement tests </w:t>
      </w:r>
      <w:r w:rsidR="005C438B" w:rsidRPr="00F06923">
        <w:rPr>
          <w:rFonts w:ascii="Times New Roman" w:hAnsi="Times New Roman"/>
          <w:sz w:val="20"/>
          <w:szCs w:val="20"/>
        </w:rPr>
        <w:t>prior to testing</w:t>
      </w:r>
      <w:r w:rsidR="001C6B53" w:rsidRPr="00F06923">
        <w:rPr>
          <w:rFonts w:ascii="Times New Roman" w:hAnsi="Times New Roman"/>
          <w:sz w:val="20"/>
          <w:szCs w:val="20"/>
        </w:rPr>
        <w:t xml:space="preserve">, </w:t>
      </w:r>
      <w:r w:rsidR="00101C38" w:rsidRPr="00F06923">
        <w:rPr>
          <w:rFonts w:ascii="Times New Roman" w:hAnsi="Times New Roman"/>
          <w:sz w:val="20"/>
          <w:szCs w:val="20"/>
        </w:rPr>
        <w:t xml:space="preserve">this case also highlighted the difficulty involved in evaluating </w:t>
      </w:r>
      <w:r w:rsidR="001C6B53" w:rsidRPr="00F06923">
        <w:rPr>
          <w:rFonts w:ascii="Times New Roman" w:hAnsi="Times New Roman"/>
          <w:sz w:val="20"/>
          <w:szCs w:val="20"/>
        </w:rPr>
        <w:t xml:space="preserve">students’ opportunity to learn </w:t>
      </w:r>
      <w:r w:rsidR="003C1194" w:rsidRPr="00F06923">
        <w:rPr>
          <w:rFonts w:ascii="Times New Roman" w:hAnsi="Times New Roman"/>
          <w:sz w:val="20"/>
          <w:szCs w:val="20"/>
        </w:rPr>
        <w:t>because it is difficult to consistently monitor the extent to which students a</w:t>
      </w:r>
      <w:r w:rsidR="001C6B53" w:rsidRPr="00F06923">
        <w:rPr>
          <w:rFonts w:ascii="Times New Roman" w:hAnsi="Times New Roman"/>
          <w:sz w:val="20"/>
          <w:szCs w:val="20"/>
        </w:rPr>
        <w:t>r</w:t>
      </w:r>
      <w:r w:rsidR="003C1194" w:rsidRPr="00F06923">
        <w:rPr>
          <w:rFonts w:ascii="Times New Roman" w:hAnsi="Times New Roman"/>
          <w:sz w:val="20"/>
          <w:szCs w:val="20"/>
        </w:rPr>
        <w:t xml:space="preserve">e engaged in grade level </w:t>
      </w:r>
      <w:proofErr w:type="gramStart"/>
      <w:r w:rsidR="003C1194" w:rsidRPr="00F06923">
        <w:rPr>
          <w:rFonts w:ascii="Times New Roman" w:hAnsi="Times New Roman"/>
          <w:sz w:val="20"/>
          <w:szCs w:val="20"/>
        </w:rPr>
        <w:t xml:space="preserve">content </w:t>
      </w:r>
      <w:r w:rsidR="00101C38" w:rsidRPr="00F06923">
        <w:rPr>
          <w:rFonts w:ascii="Times New Roman" w:hAnsi="Times New Roman"/>
          <w:sz w:val="20"/>
          <w:szCs w:val="20"/>
        </w:rPr>
        <w:t xml:space="preserve"> (</w:t>
      </w:r>
      <w:proofErr w:type="spellStart"/>
      <w:proofErr w:type="gramEnd"/>
      <w:r w:rsidR="00101C38" w:rsidRPr="00F06923">
        <w:rPr>
          <w:rFonts w:ascii="Times New Roman" w:hAnsi="Times New Roman"/>
          <w:sz w:val="20"/>
          <w:szCs w:val="20"/>
        </w:rPr>
        <w:t>Buckendahl</w:t>
      </w:r>
      <w:proofErr w:type="spellEnd"/>
      <w:r w:rsidR="00101C38" w:rsidRPr="00F06923">
        <w:rPr>
          <w:rFonts w:ascii="Times New Roman" w:hAnsi="Times New Roman"/>
          <w:sz w:val="20"/>
          <w:szCs w:val="20"/>
        </w:rPr>
        <w:t xml:space="preserve"> &amp; Hunt</w:t>
      </w:r>
      <w:r w:rsidR="000E06D7" w:rsidRPr="00F06923">
        <w:rPr>
          <w:rFonts w:ascii="Times New Roman" w:hAnsi="Times New Roman"/>
          <w:sz w:val="20"/>
          <w:szCs w:val="20"/>
        </w:rPr>
        <w:t>, 2005</w:t>
      </w:r>
      <w:r w:rsidR="00101C38" w:rsidRPr="00F06923">
        <w:rPr>
          <w:rFonts w:ascii="Times New Roman" w:hAnsi="Times New Roman"/>
          <w:sz w:val="20"/>
          <w:szCs w:val="20"/>
        </w:rPr>
        <w:t xml:space="preserve">; </w:t>
      </w:r>
      <w:proofErr w:type="spellStart"/>
      <w:r w:rsidR="00101C38" w:rsidRPr="00F06923">
        <w:rPr>
          <w:rFonts w:ascii="Times New Roman" w:hAnsi="Times New Roman"/>
          <w:sz w:val="20"/>
          <w:szCs w:val="20"/>
        </w:rPr>
        <w:t>Pullin</w:t>
      </w:r>
      <w:proofErr w:type="spellEnd"/>
      <w:r w:rsidR="00101C38" w:rsidRPr="00F06923">
        <w:rPr>
          <w:rFonts w:ascii="Times New Roman" w:hAnsi="Times New Roman"/>
          <w:sz w:val="20"/>
          <w:szCs w:val="20"/>
        </w:rPr>
        <w:t xml:space="preserve"> &amp; </w:t>
      </w:r>
      <w:proofErr w:type="spellStart"/>
      <w:r w:rsidR="00101C38" w:rsidRPr="00F06923">
        <w:rPr>
          <w:rFonts w:ascii="Times New Roman" w:hAnsi="Times New Roman"/>
          <w:sz w:val="20"/>
          <w:szCs w:val="20"/>
        </w:rPr>
        <w:t>Haertel</w:t>
      </w:r>
      <w:proofErr w:type="spellEnd"/>
      <w:r w:rsidR="001C6B53" w:rsidRPr="00F06923">
        <w:rPr>
          <w:rFonts w:ascii="Times New Roman" w:hAnsi="Times New Roman"/>
          <w:sz w:val="20"/>
          <w:szCs w:val="20"/>
        </w:rPr>
        <w:t xml:space="preserve">, </w:t>
      </w:r>
      <w:r w:rsidR="00E650A6" w:rsidRPr="00F06923">
        <w:rPr>
          <w:rFonts w:ascii="Times New Roman" w:hAnsi="Times New Roman"/>
          <w:sz w:val="20"/>
          <w:szCs w:val="20"/>
        </w:rPr>
        <w:t>2008</w:t>
      </w:r>
      <w:r w:rsidR="00101C38" w:rsidRPr="00F06923">
        <w:rPr>
          <w:rFonts w:ascii="Times New Roman" w:hAnsi="Times New Roman"/>
          <w:sz w:val="20"/>
          <w:szCs w:val="20"/>
        </w:rPr>
        <w:t xml:space="preserve">; Roach, </w:t>
      </w:r>
      <w:proofErr w:type="spellStart"/>
      <w:r w:rsidR="00101C38" w:rsidRPr="00F06923">
        <w:rPr>
          <w:rFonts w:ascii="Times New Roman" w:hAnsi="Times New Roman"/>
          <w:sz w:val="20"/>
          <w:szCs w:val="20"/>
        </w:rPr>
        <w:t>Chilungu</w:t>
      </w:r>
      <w:proofErr w:type="spellEnd"/>
      <w:r w:rsidR="00101C38" w:rsidRPr="00F06923">
        <w:rPr>
          <w:rFonts w:ascii="Times New Roman" w:hAnsi="Times New Roman"/>
          <w:sz w:val="20"/>
          <w:szCs w:val="20"/>
        </w:rPr>
        <w:t xml:space="preserve">, La Salle, Talapatra, </w:t>
      </w:r>
      <w:proofErr w:type="spellStart"/>
      <w:r w:rsidR="00101C38" w:rsidRPr="00F06923">
        <w:rPr>
          <w:rFonts w:ascii="Times New Roman" w:hAnsi="Times New Roman"/>
          <w:sz w:val="20"/>
          <w:szCs w:val="20"/>
        </w:rPr>
        <w:t>Vignieri</w:t>
      </w:r>
      <w:proofErr w:type="spellEnd"/>
      <w:r w:rsidR="001C6B53" w:rsidRPr="00F06923">
        <w:rPr>
          <w:rFonts w:ascii="Times New Roman" w:hAnsi="Times New Roman"/>
          <w:sz w:val="20"/>
          <w:szCs w:val="20"/>
        </w:rPr>
        <w:t xml:space="preserve">, </w:t>
      </w:r>
      <w:r w:rsidR="000E06D7" w:rsidRPr="00F06923">
        <w:rPr>
          <w:rFonts w:ascii="Times New Roman" w:hAnsi="Times New Roman"/>
          <w:sz w:val="20"/>
          <w:szCs w:val="20"/>
        </w:rPr>
        <w:t>2009</w:t>
      </w:r>
      <w:r w:rsidR="00101C38" w:rsidRPr="00F06923">
        <w:rPr>
          <w:rFonts w:ascii="Times New Roman" w:hAnsi="Times New Roman"/>
          <w:sz w:val="20"/>
          <w:szCs w:val="20"/>
        </w:rPr>
        <w:t>).</w:t>
      </w:r>
      <w:r w:rsidR="00420BEE" w:rsidRPr="00F06923">
        <w:rPr>
          <w:rFonts w:ascii="Times New Roman" w:hAnsi="Times New Roman"/>
          <w:sz w:val="20"/>
          <w:szCs w:val="20"/>
        </w:rPr>
        <w:t xml:space="preserve"> </w:t>
      </w:r>
    </w:p>
    <w:p w:rsidR="00E16B14" w:rsidRDefault="00E16B14" w:rsidP="00E16B14">
      <w:pPr>
        <w:spacing w:after="0" w:line="240" w:lineRule="auto"/>
        <w:contextualSpacing/>
        <w:jc w:val="both"/>
        <w:rPr>
          <w:rFonts w:ascii="Times New Roman" w:hAnsi="Times New Roman"/>
          <w:sz w:val="20"/>
          <w:szCs w:val="20"/>
        </w:rPr>
      </w:pPr>
    </w:p>
    <w:p w:rsidR="001C6B53" w:rsidRPr="00F06923" w:rsidRDefault="003C1194" w:rsidP="00E16B14">
      <w:pPr>
        <w:spacing w:after="0" w:line="240" w:lineRule="auto"/>
        <w:contextualSpacing/>
        <w:jc w:val="both"/>
        <w:rPr>
          <w:rFonts w:ascii="Times New Roman" w:hAnsi="Times New Roman"/>
          <w:color w:val="000000"/>
          <w:sz w:val="20"/>
          <w:szCs w:val="20"/>
        </w:rPr>
      </w:pPr>
      <w:r w:rsidRPr="00F06923">
        <w:rPr>
          <w:rFonts w:ascii="Times New Roman" w:hAnsi="Times New Roman"/>
          <w:sz w:val="20"/>
          <w:szCs w:val="20"/>
        </w:rPr>
        <w:t>IDEA</w:t>
      </w:r>
      <w:r w:rsidR="00E83E19" w:rsidRPr="00F06923">
        <w:rPr>
          <w:rFonts w:ascii="Times New Roman" w:hAnsi="Times New Roman"/>
          <w:sz w:val="20"/>
          <w:szCs w:val="20"/>
        </w:rPr>
        <w:t>, also know n as PL- 94142, first passed in 1975 and subsequently amended in 1997 and 2004, dictated that students with disabilities should be educated</w:t>
      </w:r>
      <w:r w:rsidR="001C6B53" w:rsidRPr="00F06923">
        <w:rPr>
          <w:rFonts w:ascii="Times New Roman" w:hAnsi="Times New Roman"/>
          <w:sz w:val="20"/>
          <w:szCs w:val="20"/>
        </w:rPr>
        <w:t xml:space="preserve"> </w:t>
      </w:r>
      <w:r w:rsidR="00E83E19" w:rsidRPr="00F06923">
        <w:rPr>
          <w:rFonts w:ascii="Times New Roman" w:hAnsi="Times New Roman"/>
          <w:sz w:val="20"/>
          <w:szCs w:val="20"/>
        </w:rPr>
        <w:t>to the maximum extent possible with their peers without disabilities.</w:t>
      </w:r>
      <w:r w:rsidR="00B1161B" w:rsidRPr="00F06923">
        <w:rPr>
          <w:rFonts w:ascii="Times New Roman" w:hAnsi="Times New Roman"/>
          <w:sz w:val="20"/>
          <w:szCs w:val="20"/>
        </w:rPr>
        <w:t xml:space="preserve"> </w:t>
      </w:r>
      <w:r w:rsidR="00BE10A2" w:rsidRPr="00F06923">
        <w:rPr>
          <w:rFonts w:ascii="Times New Roman" w:hAnsi="Times New Roman"/>
          <w:sz w:val="20"/>
          <w:szCs w:val="20"/>
        </w:rPr>
        <w:t>IDEA</w:t>
      </w:r>
      <w:r w:rsidR="00E83E19" w:rsidRPr="00F06923">
        <w:rPr>
          <w:rFonts w:ascii="Times New Roman" w:hAnsi="Times New Roman"/>
          <w:sz w:val="20"/>
          <w:szCs w:val="20"/>
        </w:rPr>
        <w:t xml:space="preserve"> requires</w:t>
      </w:r>
      <w:r w:rsidR="00BE10A2" w:rsidRPr="00F06923">
        <w:rPr>
          <w:rFonts w:ascii="Times New Roman" w:hAnsi="Times New Roman"/>
          <w:sz w:val="20"/>
          <w:szCs w:val="20"/>
        </w:rPr>
        <w:t xml:space="preserve"> student</w:t>
      </w:r>
      <w:r w:rsidR="00E83E19" w:rsidRPr="00F06923">
        <w:rPr>
          <w:rFonts w:ascii="Times New Roman" w:hAnsi="Times New Roman"/>
          <w:sz w:val="20"/>
          <w:szCs w:val="20"/>
        </w:rPr>
        <w:t xml:space="preserve"> IEPs to address the impact of student’s </w:t>
      </w:r>
      <w:r w:rsidR="00B1161B" w:rsidRPr="00F06923">
        <w:rPr>
          <w:rFonts w:ascii="Times New Roman" w:hAnsi="Times New Roman"/>
          <w:sz w:val="20"/>
          <w:szCs w:val="20"/>
        </w:rPr>
        <w:t>disabilities</w:t>
      </w:r>
      <w:r w:rsidR="00E83E19" w:rsidRPr="00F06923">
        <w:rPr>
          <w:rFonts w:ascii="Times New Roman" w:hAnsi="Times New Roman"/>
          <w:sz w:val="20"/>
          <w:szCs w:val="20"/>
        </w:rPr>
        <w:t xml:space="preserve"> on their educational functioning, as well as</w:t>
      </w:r>
      <w:r w:rsidR="001C6B53" w:rsidRPr="00F06923">
        <w:rPr>
          <w:rFonts w:ascii="Times New Roman" w:hAnsi="Times New Roman"/>
          <w:sz w:val="20"/>
          <w:szCs w:val="20"/>
        </w:rPr>
        <w:t xml:space="preserve"> including</w:t>
      </w:r>
      <w:r w:rsidR="00E83E19" w:rsidRPr="00F06923">
        <w:rPr>
          <w:rFonts w:ascii="Times New Roman" w:hAnsi="Times New Roman"/>
          <w:sz w:val="20"/>
          <w:szCs w:val="20"/>
        </w:rPr>
        <w:t xml:space="preserve"> the goals and objectives that would be put in place to ensure that students with disabilities can be involved in and progress towards curricular goals </w:t>
      </w:r>
      <w:r w:rsidR="00E83E19" w:rsidRPr="00F06923">
        <w:rPr>
          <w:rFonts w:ascii="Times New Roman" w:hAnsi="Times New Roman"/>
          <w:color w:val="000000"/>
          <w:sz w:val="20"/>
          <w:szCs w:val="20"/>
        </w:rPr>
        <w:t xml:space="preserve">[20 U.S.C. Sec. 1414(d)(1)(A)(iii).]. Several court cases have also addressed the extent to which students with disabilities should participate in instructional environments with peers who do not have disabilities. </w:t>
      </w:r>
    </w:p>
    <w:p w:rsidR="00E16B14" w:rsidRDefault="00E16B14" w:rsidP="00E16B14">
      <w:pPr>
        <w:spacing w:after="0" w:line="240" w:lineRule="auto"/>
        <w:contextualSpacing/>
        <w:jc w:val="both"/>
        <w:rPr>
          <w:rFonts w:ascii="Times New Roman" w:hAnsi="Times New Roman"/>
          <w:i/>
          <w:color w:val="000000"/>
          <w:sz w:val="20"/>
          <w:szCs w:val="20"/>
        </w:rPr>
      </w:pPr>
    </w:p>
    <w:p w:rsidR="00E83E19" w:rsidRPr="00F06923" w:rsidRDefault="00E45298" w:rsidP="00E16B14">
      <w:pPr>
        <w:spacing w:after="0" w:line="240" w:lineRule="auto"/>
        <w:contextualSpacing/>
        <w:jc w:val="both"/>
        <w:rPr>
          <w:rFonts w:ascii="Times New Roman" w:hAnsi="Times New Roman"/>
          <w:color w:val="000000"/>
          <w:sz w:val="20"/>
          <w:szCs w:val="20"/>
        </w:rPr>
      </w:pPr>
      <w:r w:rsidRPr="00F06923">
        <w:rPr>
          <w:rFonts w:ascii="Times New Roman" w:hAnsi="Times New Roman"/>
          <w:i/>
          <w:color w:val="000000"/>
          <w:sz w:val="20"/>
          <w:szCs w:val="20"/>
        </w:rPr>
        <w:t>Daniel R.R. v. State Board of Education</w:t>
      </w:r>
      <w:r w:rsidRPr="00F06923">
        <w:rPr>
          <w:rFonts w:ascii="Times New Roman" w:hAnsi="Times New Roman"/>
          <w:color w:val="000000"/>
          <w:sz w:val="20"/>
          <w:szCs w:val="20"/>
        </w:rPr>
        <w:t xml:space="preserve"> (1989) was one of the first court cases to establish that students with disabilities should be educated in th</w:t>
      </w:r>
      <w:r w:rsidR="005437EE" w:rsidRPr="00F06923">
        <w:rPr>
          <w:rFonts w:ascii="Times New Roman" w:hAnsi="Times New Roman"/>
          <w:color w:val="000000"/>
          <w:sz w:val="20"/>
          <w:szCs w:val="20"/>
        </w:rPr>
        <w:t>e least restrictive environment</w:t>
      </w:r>
      <w:r w:rsidRPr="00F06923">
        <w:rPr>
          <w:rFonts w:ascii="Times New Roman" w:hAnsi="Times New Roman"/>
          <w:color w:val="000000"/>
          <w:sz w:val="20"/>
          <w:szCs w:val="20"/>
        </w:rPr>
        <w:t xml:space="preserve"> to the maximum extent possible. The Circuit Court developed a two-prong test to ensure school districts’ compliance with the requirements set forth by IDEA; they were to establish if students with disabilities could be educated in the general education classroom with supplemental aids and services, and if that was not possible, then districts were to establish</w:t>
      </w:r>
      <w:r w:rsidR="001C6B53" w:rsidRPr="00F06923">
        <w:rPr>
          <w:rFonts w:ascii="Times New Roman" w:hAnsi="Times New Roman"/>
          <w:color w:val="000000"/>
          <w:sz w:val="20"/>
          <w:szCs w:val="20"/>
        </w:rPr>
        <w:t xml:space="preserve"> that</w:t>
      </w:r>
      <w:r w:rsidRPr="00F06923">
        <w:rPr>
          <w:rFonts w:ascii="Times New Roman" w:hAnsi="Times New Roman"/>
          <w:color w:val="000000"/>
          <w:sz w:val="20"/>
          <w:szCs w:val="20"/>
        </w:rPr>
        <w:t xml:space="preserve"> the child ha</w:t>
      </w:r>
      <w:r w:rsidR="001C6B53" w:rsidRPr="00F06923">
        <w:rPr>
          <w:rFonts w:ascii="Times New Roman" w:hAnsi="Times New Roman"/>
          <w:color w:val="000000"/>
          <w:sz w:val="20"/>
          <w:szCs w:val="20"/>
        </w:rPr>
        <w:t>d</w:t>
      </w:r>
      <w:r w:rsidRPr="00F06923">
        <w:rPr>
          <w:rFonts w:ascii="Times New Roman" w:hAnsi="Times New Roman"/>
          <w:color w:val="000000"/>
          <w:sz w:val="20"/>
          <w:szCs w:val="20"/>
        </w:rPr>
        <w:t xml:space="preserve"> been mainstreamed to the maximum extent possible.</w:t>
      </w:r>
      <w:r w:rsidR="001C6B53" w:rsidRPr="00F06923">
        <w:rPr>
          <w:rFonts w:ascii="Times New Roman" w:hAnsi="Times New Roman"/>
          <w:color w:val="000000"/>
          <w:sz w:val="20"/>
          <w:szCs w:val="20"/>
        </w:rPr>
        <w:t xml:space="preserve"> </w:t>
      </w:r>
      <w:r w:rsidR="00BE10A2" w:rsidRPr="00F06923">
        <w:rPr>
          <w:rFonts w:ascii="Times New Roman" w:hAnsi="Times New Roman"/>
          <w:color w:val="000000"/>
          <w:sz w:val="20"/>
          <w:szCs w:val="20"/>
        </w:rPr>
        <w:t>T</w:t>
      </w:r>
      <w:r w:rsidRPr="00F06923">
        <w:rPr>
          <w:rFonts w:ascii="Times New Roman" w:hAnsi="Times New Roman"/>
          <w:color w:val="000000"/>
          <w:sz w:val="20"/>
          <w:szCs w:val="20"/>
        </w:rPr>
        <w:t>he same procedu</w:t>
      </w:r>
      <w:r w:rsidR="00E37AF8" w:rsidRPr="00F06923">
        <w:rPr>
          <w:rFonts w:ascii="Times New Roman" w:hAnsi="Times New Roman"/>
          <w:color w:val="000000"/>
          <w:sz w:val="20"/>
          <w:szCs w:val="20"/>
        </w:rPr>
        <w:t xml:space="preserve">res were implemented in </w:t>
      </w:r>
      <w:r w:rsidR="00E37AF8" w:rsidRPr="00F06923">
        <w:rPr>
          <w:rFonts w:ascii="Times New Roman" w:hAnsi="Times New Roman"/>
          <w:i/>
          <w:color w:val="000000"/>
          <w:sz w:val="20"/>
          <w:szCs w:val="20"/>
        </w:rPr>
        <w:t>Greer v. R</w:t>
      </w:r>
      <w:r w:rsidRPr="00F06923">
        <w:rPr>
          <w:rFonts w:ascii="Times New Roman" w:hAnsi="Times New Roman"/>
          <w:i/>
          <w:color w:val="000000"/>
          <w:sz w:val="20"/>
          <w:szCs w:val="20"/>
        </w:rPr>
        <w:t>ome City School District</w:t>
      </w:r>
      <w:r w:rsidR="001105C8" w:rsidRPr="00F06923">
        <w:rPr>
          <w:rFonts w:ascii="Times New Roman" w:hAnsi="Times New Roman"/>
          <w:i/>
          <w:color w:val="000000"/>
          <w:sz w:val="20"/>
          <w:szCs w:val="20"/>
        </w:rPr>
        <w:t xml:space="preserve"> </w:t>
      </w:r>
      <w:r w:rsidR="001105C8" w:rsidRPr="00F06923">
        <w:rPr>
          <w:rFonts w:ascii="Times New Roman" w:hAnsi="Times New Roman"/>
          <w:color w:val="000000"/>
          <w:sz w:val="20"/>
          <w:szCs w:val="20"/>
        </w:rPr>
        <w:t>(1992)</w:t>
      </w:r>
      <w:r w:rsidRPr="00F06923">
        <w:rPr>
          <w:rFonts w:ascii="Times New Roman" w:hAnsi="Times New Roman"/>
          <w:color w:val="000000"/>
          <w:sz w:val="20"/>
          <w:szCs w:val="20"/>
        </w:rPr>
        <w:t xml:space="preserve"> in order to determine if the costs of educating a student with disabilities in the general education classroom would be too substantial to maintain. The courts upheld that students with disabilities, who would otherwise benefit from the general educational curriculum, cannot be denied such access because of the added cost of supplemental aids and services. </w:t>
      </w:r>
      <w:proofErr w:type="spellStart"/>
      <w:r w:rsidR="001105C8" w:rsidRPr="00F06923">
        <w:rPr>
          <w:rFonts w:ascii="Times New Roman" w:hAnsi="Times New Roman"/>
          <w:i/>
          <w:color w:val="000000"/>
          <w:sz w:val="20"/>
          <w:szCs w:val="20"/>
        </w:rPr>
        <w:t>Oberti</w:t>
      </w:r>
      <w:proofErr w:type="spellEnd"/>
      <w:r w:rsidR="001105C8" w:rsidRPr="00F06923">
        <w:rPr>
          <w:rFonts w:ascii="Times New Roman" w:hAnsi="Times New Roman"/>
          <w:i/>
          <w:color w:val="000000"/>
          <w:sz w:val="20"/>
          <w:szCs w:val="20"/>
        </w:rPr>
        <w:t xml:space="preserve"> v. Board of Education of the Borough of Clementon School District</w:t>
      </w:r>
      <w:r w:rsidR="001105C8" w:rsidRPr="00F06923">
        <w:rPr>
          <w:rFonts w:ascii="Times New Roman" w:hAnsi="Times New Roman"/>
          <w:color w:val="000000"/>
          <w:sz w:val="20"/>
          <w:szCs w:val="20"/>
        </w:rPr>
        <w:t xml:space="preserve"> (1993) </w:t>
      </w:r>
      <w:r w:rsidR="009C271F" w:rsidRPr="00F06923">
        <w:rPr>
          <w:rFonts w:ascii="Times New Roman" w:hAnsi="Times New Roman"/>
          <w:color w:val="000000"/>
          <w:sz w:val="20"/>
          <w:szCs w:val="20"/>
        </w:rPr>
        <w:t>upheld</w:t>
      </w:r>
      <w:r w:rsidR="001105C8" w:rsidRPr="00F06923">
        <w:rPr>
          <w:rFonts w:ascii="Times New Roman" w:hAnsi="Times New Roman"/>
          <w:color w:val="000000"/>
          <w:sz w:val="20"/>
          <w:szCs w:val="20"/>
        </w:rPr>
        <w:t xml:space="preserve"> that students with disabilities should be educated in their home school, and placed the burden to meet the requirements set forth by IDEA on the school districts and not the families. This case </w:t>
      </w:r>
      <w:r w:rsidR="009C271F" w:rsidRPr="00F06923">
        <w:rPr>
          <w:rFonts w:ascii="Times New Roman" w:hAnsi="Times New Roman"/>
          <w:color w:val="000000"/>
          <w:sz w:val="20"/>
          <w:szCs w:val="20"/>
        </w:rPr>
        <w:t>upheld</w:t>
      </w:r>
      <w:r w:rsidR="001105C8" w:rsidRPr="00F06923">
        <w:rPr>
          <w:rFonts w:ascii="Times New Roman" w:hAnsi="Times New Roman"/>
          <w:color w:val="000000"/>
          <w:sz w:val="20"/>
          <w:szCs w:val="20"/>
        </w:rPr>
        <w:t xml:space="preserve"> that </w:t>
      </w:r>
      <w:r w:rsidR="001105C8" w:rsidRPr="005C7EDB">
        <w:rPr>
          <w:rFonts w:ascii="Times New Roman" w:hAnsi="Times New Roman"/>
          <w:i/>
          <w:color w:val="000000"/>
          <w:sz w:val="20"/>
          <w:szCs w:val="20"/>
        </w:rPr>
        <w:t>inclusion is a right, not a special privilege for a select few</w:t>
      </w:r>
      <w:r w:rsidR="001C6B53" w:rsidRPr="00F06923">
        <w:rPr>
          <w:rFonts w:ascii="Times New Roman" w:hAnsi="Times New Roman"/>
          <w:color w:val="000000"/>
          <w:sz w:val="20"/>
          <w:szCs w:val="20"/>
        </w:rPr>
        <w:t xml:space="preserve"> </w:t>
      </w:r>
      <w:r w:rsidR="00BE10A2" w:rsidRPr="00F06923">
        <w:rPr>
          <w:rFonts w:ascii="Times New Roman" w:hAnsi="Times New Roman"/>
          <w:color w:val="000000"/>
          <w:sz w:val="20"/>
          <w:szCs w:val="20"/>
        </w:rPr>
        <w:t>(</w:t>
      </w:r>
      <w:proofErr w:type="spellStart"/>
      <w:r w:rsidR="00BE10A2" w:rsidRPr="00F06923">
        <w:rPr>
          <w:rFonts w:ascii="Times New Roman" w:hAnsi="Times New Roman"/>
          <w:color w:val="000000"/>
          <w:sz w:val="20"/>
          <w:szCs w:val="20"/>
        </w:rPr>
        <w:t>Oberti</w:t>
      </w:r>
      <w:proofErr w:type="spellEnd"/>
      <w:r w:rsidR="00485EBB" w:rsidRPr="00F06923">
        <w:rPr>
          <w:rFonts w:ascii="Times New Roman" w:hAnsi="Times New Roman"/>
          <w:color w:val="000000"/>
          <w:sz w:val="20"/>
          <w:szCs w:val="20"/>
        </w:rPr>
        <w:t xml:space="preserve"> v. Board of Education of the Clementon School District, 1993</w:t>
      </w:r>
      <w:r w:rsidR="001105C8" w:rsidRPr="00F06923">
        <w:rPr>
          <w:rFonts w:ascii="Times New Roman" w:hAnsi="Times New Roman"/>
          <w:color w:val="000000"/>
          <w:sz w:val="20"/>
          <w:szCs w:val="20"/>
        </w:rPr>
        <w:t>)</w:t>
      </w:r>
      <w:r w:rsidR="00485EBB" w:rsidRPr="00F06923">
        <w:rPr>
          <w:rFonts w:ascii="Times New Roman" w:hAnsi="Times New Roman"/>
          <w:color w:val="000000"/>
          <w:sz w:val="20"/>
          <w:szCs w:val="20"/>
        </w:rPr>
        <w:t>.</w:t>
      </w:r>
      <w:r w:rsidR="001105C8" w:rsidRPr="00F06923">
        <w:rPr>
          <w:rFonts w:ascii="Times New Roman" w:hAnsi="Times New Roman"/>
          <w:color w:val="000000"/>
          <w:sz w:val="20"/>
          <w:szCs w:val="20"/>
        </w:rPr>
        <w:t xml:space="preserve"> Additionally, the case also upheld that the </w:t>
      </w:r>
      <w:r w:rsidR="001C6B53" w:rsidRPr="00F06923">
        <w:rPr>
          <w:rFonts w:ascii="Times New Roman" w:hAnsi="Times New Roman"/>
          <w:color w:val="000000"/>
          <w:sz w:val="20"/>
          <w:szCs w:val="20"/>
        </w:rPr>
        <w:t>federal regulations</w:t>
      </w:r>
      <w:r w:rsidR="00BE10A2" w:rsidRPr="00F06923">
        <w:rPr>
          <w:rFonts w:ascii="Times New Roman" w:hAnsi="Times New Roman"/>
          <w:color w:val="000000"/>
          <w:sz w:val="20"/>
          <w:szCs w:val="20"/>
        </w:rPr>
        <w:t xml:space="preserve"> require</w:t>
      </w:r>
      <w:r w:rsidR="001105C8" w:rsidRPr="00F06923">
        <w:rPr>
          <w:rFonts w:ascii="Times New Roman" w:hAnsi="Times New Roman"/>
          <w:color w:val="000000"/>
          <w:sz w:val="20"/>
          <w:szCs w:val="20"/>
        </w:rPr>
        <w:t xml:space="preserve"> schools to supplement and modify resources and practices that</w:t>
      </w:r>
      <w:r w:rsidR="001C6B53" w:rsidRPr="00F06923">
        <w:rPr>
          <w:rFonts w:ascii="Times New Roman" w:hAnsi="Times New Roman"/>
          <w:color w:val="000000"/>
          <w:sz w:val="20"/>
          <w:szCs w:val="20"/>
        </w:rPr>
        <w:t xml:space="preserve">, in the absence of supplements and </w:t>
      </w:r>
      <w:r w:rsidR="00E16B14" w:rsidRPr="00F06923">
        <w:rPr>
          <w:rFonts w:ascii="Times New Roman" w:hAnsi="Times New Roman"/>
          <w:color w:val="000000"/>
          <w:sz w:val="20"/>
          <w:szCs w:val="20"/>
        </w:rPr>
        <w:t>modification</w:t>
      </w:r>
      <w:r w:rsidR="001105C8" w:rsidRPr="00F06923">
        <w:rPr>
          <w:rFonts w:ascii="Times New Roman" w:hAnsi="Times New Roman"/>
          <w:color w:val="000000"/>
          <w:sz w:val="20"/>
          <w:szCs w:val="20"/>
        </w:rPr>
        <w:t xml:space="preserve"> would otherwise result in unnecessary segregation of students with disabilities. </w:t>
      </w:r>
    </w:p>
    <w:p w:rsidR="00E16B14" w:rsidRDefault="00E16B14" w:rsidP="00E16B14">
      <w:pPr>
        <w:spacing w:after="0" w:line="240" w:lineRule="auto"/>
        <w:contextualSpacing/>
        <w:jc w:val="both"/>
        <w:rPr>
          <w:rFonts w:ascii="Times New Roman" w:hAnsi="Times New Roman"/>
          <w:b/>
          <w:color w:val="000000"/>
          <w:sz w:val="20"/>
          <w:szCs w:val="20"/>
        </w:rPr>
      </w:pPr>
    </w:p>
    <w:p w:rsidR="00792BA5" w:rsidRPr="00E16B14" w:rsidRDefault="00EB05C4" w:rsidP="00E16B14">
      <w:pPr>
        <w:spacing w:after="0" w:line="240" w:lineRule="auto"/>
        <w:contextualSpacing/>
        <w:jc w:val="both"/>
        <w:rPr>
          <w:rFonts w:ascii="Times New Roman" w:hAnsi="Times New Roman"/>
          <w:i/>
          <w:color w:val="000000"/>
          <w:sz w:val="20"/>
          <w:szCs w:val="20"/>
        </w:rPr>
      </w:pPr>
      <w:r w:rsidRPr="00E16B14">
        <w:rPr>
          <w:rFonts w:ascii="Times New Roman" w:hAnsi="Times New Roman"/>
          <w:i/>
          <w:color w:val="000000"/>
          <w:sz w:val="20"/>
          <w:szCs w:val="20"/>
        </w:rPr>
        <w:t>Access to Grade-Level Curriculum</w:t>
      </w:r>
      <w:r w:rsidR="00A044BC" w:rsidRPr="00E16B14">
        <w:rPr>
          <w:rFonts w:ascii="Times New Roman" w:hAnsi="Times New Roman"/>
          <w:i/>
          <w:color w:val="000000"/>
          <w:sz w:val="20"/>
          <w:szCs w:val="20"/>
        </w:rPr>
        <w:t xml:space="preserve"> for Students with Disabilities</w:t>
      </w:r>
    </w:p>
    <w:p w:rsidR="002A04A3" w:rsidRPr="00F06923" w:rsidRDefault="00792BA5" w:rsidP="00E16B14">
      <w:pPr>
        <w:spacing w:after="0" w:line="240" w:lineRule="auto"/>
        <w:contextualSpacing/>
        <w:jc w:val="both"/>
        <w:rPr>
          <w:rFonts w:ascii="Times New Roman" w:hAnsi="Times New Roman"/>
          <w:color w:val="000000"/>
          <w:sz w:val="20"/>
          <w:szCs w:val="20"/>
        </w:rPr>
      </w:pPr>
      <w:r w:rsidRPr="00F06923">
        <w:rPr>
          <w:rFonts w:ascii="Times New Roman" w:hAnsi="Times New Roman"/>
          <w:color w:val="000000"/>
          <w:sz w:val="20"/>
          <w:szCs w:val="20"/>
        </w:rPr>
        <w:t>While the inclusion of students with disabilities in general education classroom</w:t>
      </w:r>
      <w:r w:rsidR="0019439D" w:rsidRPr="00F06923">
        <w:rPr>
          <w:rFonts w:ascii="Times New Roman" w:hAnsi="Times New Roman"/>
          <w:color w:val="000000"/>
          <w:sz w:val="20"/>
          <w:szCs w:val="20"/>
        </w:rPr>
        <w:t>s is a positive initial step</w:t>
      </w:r>
      <w:r w:rsidRPr="00F06923">
        <w:rPr>
          <w:rFonts w:ascii="Times New Roman" w:hAnsi="Times New Roman"/>
          <w:color w:val="000000"/>
          <w:sz w:val="20"/>
          <w:szCs w:val="20"/>
        </w:rPr>
        <w:t xml:space="preserve">, further </w:t>
      </w:r>
      <w:r w:rsidR="0019439D" w:rsidRPr="00F06923">
        <w:rPr>
          <w:rFonts w:ascii="Times New Roman" w:hAnsi="Times New Roman"/>
          <w:color w:val="000000"/>
          <w:sz w:val="20"/>
          <w:szCs w:val="20"/>
        </w:rPr>
        <w:t xml:space="preserve">action </w:t>
      </w:r>
      <w:r w:rsidRPr="00F06923">
        <w:rPr>
          <w:rFonts w:ascii="Times New Roman" w:hAnsi="Times New Roman"/>
          <w:color w:val="000000"/>
          <w:sz w:val="20"/>
          <w:szCs w:val="20"/>
        </w:rPr>
        <w:t>must be taken to ensure that students are engaged in</w:t>
      </w:r>
      <w:r w:rsidR="002A04A3" w:rsidRPr="00F06923">
        <w:rPr>
          <w:rFonts w:ascii="Times New Roman" w:hAnsi="Times New Roman"/>
          <w:color w:val="000000"/>
          <w:sz w:val="20"/>
          <w:szCs w:val="20"/>
        </w:rPr>
        <w:t xml:space="preserve"> meaningful and intentional </w:t>
      </w:r>
      <w:r w:rsidRPr="00F06923">
        <w:rPr>
          <w:rFonts w:ascii="Times New Roman" w:hAnsi="Times New Roman"/>
          <w:color w:val="000000"/>
          <w:sz w:val="20"/>
          <w:szCs w:val="20"/>
        </w:rPr>
        <w:t>grade appropriate instructional content</w:t>
      </w:r>
      <w:r w:rsidR="002A04A3" w:rsidRPr="00F06923">
        <w:rPr>
          <w:rFonts w:ascii="Times New Roman" w:hAnsi="Times New Roman"/>
          <w:color w:val="000000"/>
          <w:sz w:val="20"/>
          <w:szCs w:val="20"/>
        </w:rPr>
        <w:t>. Otis-</w:t>
      </w:r>
      <w:proofErr w:type="spellStart"/>
      <w:r w:rsidR="002A04A3" w:rsidRPr="00F06923">
        <w:rPr>
          <w:rFonts w:ascii="Times New Roman" w:hAnsi="Times New Roman"/>
          <w:color w:val="000000"/>
          <w:sz w:val="20"/>
          <w:szCs w:val="20"/>
        </w:rPr>
        <w:t>Wilborn</w:t>
      </w:r>
      <w:proofErr w:type="spellEnd"/>
      <w:r w:rsidR="002A04A3" w:rsidRPr="00F06923">
        <w:rPr>
          <w:rFonts w:ascii="Times New Roman" w:hAnsi="Times New Roman"/>
          <w:color w:val="000000"/>
          <w:sz w:val="20"/>
          <w:szCs w:val="20"/>
        </w:rPr>
        <w:t xml:space="preserve">, Winn, Griffin, and Kilgore (2005) examined the attempts of special education teachers to </w:t>
      </w:r>
      <w:r w:rsidR="00CE6CF4" w:rsidRPr="00F06923">
        <w:rPr>
          <w:rFonts w:ascii="Times New Roman" w:hAnsi="Times New Roman"/>
          <w:color w:val="000000"/>
          <w:sz w:val="20"/>
          <w:szCs w:val="20"/>
        </w:rPr>
        <w:t xml:space="preserve">promote access to the general education curriculum and participation in general education programs. </w:t>
      </w:r>
      <w:r w:rsidR="000F01A9" w:rsidRPr="00F06923">
        <w:rPr>
          <w:rFonts w:ascii="Times New Roman" w:hAnsi="Times New Roman"/>
          <w:color w:val="000000"/>
          <w:sz w:val="20"/>
          <w:szCs w:val="20"/>
        </w:rPr>
        <w:t xml:space="preserve">Eighty-percent of teachers interviewed reported facing significant barriers in implementing the aforementioned IDEA 1997 requirements. Specifically, the special educators reported that they struggled to gain access to comparable curricular tools that were provided to general educators, </w:t>
      </w:r>
      <w:r w:rsidR="005437EE" w:rsidRPr="00F06923">
        <w:rPr>
          <w:rFonts w:ascii="Times New Roman" w:hAnsi="Times New Roman"/>
          <w:color w:val="000000"/>
          <w:sz w:val="20"/>
          <w:szCs w:val="20"/>
        </w:rPr>
        <w:t xml:space="preserve">taught in classrooms </w:t>
      </w:r>
      <w:r w:rsidR="000F01A9" w:rsidRPr="00F06923">
        <w:rPr>
          <w:rFonts w:ascii="Times New Roman" w:hAnsi="Times New Roman"/>
          <w:color w:val="000000"/>
          <w:sz w:val="20"/>
          <w:szCs w:val="20"/>
        </w:rPr>
        <w:t xml:space="preserve">segregated from the general education classrooms and </w:t>
      </w:r>
      <w:r w:rsidR="00B1161B" w:rsidRPr="00F06923">
        <w:rPr>
          <w:rFonts w:ascii="Times New Roman" w:hAnsi="Times New Roman"/>
          <w:color w:val="000000"/>
          <w:sz w:val="20"/>
          <w:szCs w:val="20"/>
        </w:rPr>
        <w:t>curricula</w:t>
      </w:r>
      <w:r w:rsidR="000F01A9" w:rsidRPr="00F06923">
        <w:rPr>
          <w:rFonts w:ascii="Times New Roman" w:hAnsi="Times New Roman"/>
          <w:color w:val="000000"/>
          <w:sz w:val="20"/>
          <w:szCs w:val="20"/>
        </w:rPr>
        <w:t>, and</w:t>
      </w:r>
      <w:r w:rsidR="0019439D" w:rsidRPr="00F06923">
        <w:rPr>
          <w:rFonts w:ascii="Times New Roman" w:hAnsi="Times New Roman"/>
          <w:color w:val="000000"/>
          <w:sz w:val="20"/>
          <w:szCs w:val="20"/>
        </w:rPr>
        <w:t xml:space="preserve"> that</w:t>
      </w:r>
      <w:r w:rsidR="000F01A9" w:rsidRPr="00F06923">
        <w:rPr>
          <w:rFonts w:ascii="Times New Roman" w:hAnsi="Times New Roman"/>
          <w:color w:val="000000"/>
          <w:sz w:val="20"/>
          <w:szCs w:val="20"/>
        </w:rPr>
        <w:t xml:space="preserve"> students with </w:t>
      </w:r>
      <w:r w:rsidR="00B1161B" w:rsidRPr="00F06923">
        <w:rPr>
          <w:rFonts w:ascii="Times New Roman" w:hAnsi="Times New Roman"/>
          <w:color w:val="000000"/>
          <w:sz w:val="20"/>
          <w:szCs w:val="20"/>
        </w:rPr>
        <w:t>disabilities</w:t>
      </w:r>
      <w:r w:rsidR="000F01A9" w:rsidRPr="00F06923">
        <w:rPr>
          <w:rFonts w:ascii="Times New Roman" w:hAnsi="Times New Roman"/>
          <w:color w:val="000000"/>
          <w:sz w:val="20"/>
          <w:szCs w:val="20"/>
        </w:rPr>
        <w:t xml:space="preserve"> had limited opportunity to interact with their peers (Roach et al., 2009).  </w:t>
      </w:r>
      <w:r w:rsidR="00B1161B" w:rsidRPr="00F06923">
        <w:rPr>
          <w:rFonts w:ascii="Times New Roman" w:hAnsi="Times New Roman"/>
          <w:color w:val="000000"/>
          <w:sz w:val="20"/>
          <w:szCs w:val="20"/>
        </w:rPr>
        <w:t>Additionally</w:t>
      </w:r>
      <w:r w:rsidR="000F01A9" w:rsidRPr="00F06923">
        <w:rPr>
          <w:rFonts w:ascii="Times New Roman" w:hAnsi="Times New Roman"/>
          <w:color w:val="000000"/>
          <w:sz w:val="20"/>
          <w:szCs w:val="20"/>
        </w:rPr>
        <w:t xml:space="preserve">, results of the study also found that special educators had a difficult time consulting with general education teachers </w:t>
      </w:r>
      <w:r w:rsidR="0019439D" w:rsidRPr="00F06923">
        <w:rPr>
          <w:rFonts w:ascii="Times New Roman" w:hAnsi="Times New Roman"/>
          <w:color w:val="000000"/>
          <w:sz w:val="20"/>
          <w:szCs w:val="20"/>
        </w:rPr>
        <w:t xml:space="preserve">because of limited time set aside for joint </w:t>
      </w:r>
      <w:r w:rsidR="000F01A9" w:rsidRPr="00F06923">
        <w:rPr>
          <w:rFonts w:ascii="Times New Roman" w:hAnsi="Times New Roman"/>
          <w:color w:val="000000"/>
          <w:sz w:val="20"/>
          <w:szCs w:val="20"/>
        </w:rPr>
        <w:t xml:space="preserve">instructional planning. </w:t>
      </w:r>
    </w:p>
    <w:p w:rsidR="00E16B14" w:rsidRDefault="00E16B14" w:rsidP="00E16B14">
      <w:pPr>
        <w:spacing w:before="240" w:after="0" w:line="240" w:lineRule="auto"/>
        <w:contextualSpacing/>
        <w:jc w:val="both"/>
        <w:rPr>
          <w:rFonts w:ascii="Times New Roman" w:hAnsi="Times New Roman"/>
          <w:color w:val="000000"/>
          <w:sz w:val="20"/>
          <w:szCs w:val="20"/>
        </w:rPr>
      </w:pPr>
    </w:p>
    <w:p w:rsidR="00A47520" w:rsidRPr="00F06923" w:rsidRDefault="00D849D1" w:rsidP="00E16B14">
      <w:pPr>
        <w:spacing w:before="240" w:after="0" w:line="240" w:lineRule="auto"/>
        <w:contextualSpacing/>
        <w:jc w:val="both"/>
        <w:rPr>
          <w:rFonts w:ascii="Times New Roman" w:hAnsi="Times New Roman"/>
          <w:color w:val="000000"/>
          <w:sz w:val="20"/>
          <w:szCs w:val="20"/>
        </w:rPr>
      </w:pPr>
      <w:r w:rsidRPr="00F06923">
        <w:rPr>
          <w:rFonts w:ascii="Times New Roman" w:hAnsi="Times New Roman"/>
          <w:color w:val="000000"/>
          <w:sz w:val="20"/>
          <w:szCs w:val="20"/>
        </w:rPr>
        <w:t xml:space="preserve">The reauthorizations of IDEA have expanded </w:t>
      </w:r>
      <w:r w:rsidR="004F4C80" w:rsidRPr="00F06923">
        <w:rPr>
          <w:rFonts w:ascii="Times New Roman" w:hAnsi="Times New Roman"/>
          <w:color w:val="000000"/>
          <w:sz w:val="20"/>
          <w:szCs w:val="20"/>
        </w:rPr>
        <w:t xml:space="preserve">the expectations for students with disabilities </w:t>
      </w:r>
      <w:r w:rsidR="0019439D" w:rsidRPr="00F06923">
        <w:rPr>
          <w:rFonts w:ascii="Times New Roman" w:hAnsi="Times New Roman"/>
          <w:color w:val="000000"/>
          <w:sz w:val="20"/>
          <w:szCs w:val="20"/>
        </w:rPr>
        <w:t>from simply</w:t>
      </w:r>
      <w:r w:rsidR="004F4C80" w:rsidRPr="00F06923">
        <w:rPr>
          <w:rFonts w:ascii="Times New Roman" w:hAnsi="Times New Roman"/>
          <w:color w:val="000000"/>
          <w:sz w:val="20"/>
          <w:szCs w:val="20"/>
        </w:rPr>
        <w:t xml:space="preserve"> </w:t>
      </w:r>
      <w:r w:rsidR="0019439D" w:rsidRPr="00F06923">
        <w:rPr>
          <w:rFonts w:ascii="Times New Roman" w:hAnsi="Times New Roman"/>
          <w:color w:val="000000"/>
          <w:sz w:val="20"/>
          <w:szCs w:val="20"/>
        </w:rPr>
        <w:t xml:space="preserve">being </w:t>
      </w:r>
      <w:r w:rsidR="004F4C80" w:rsidRPr="00F06923">
        <w:rPr>
          <w:rFonts w:ascii="Times New Roman" w:hAnsi="Times New Roman"/>
          <w:color w:val="000000"/>
          <w:sz w:val="20"/>
          <w:szCs w:val="20"/>
        </w:rPr>
        <w:t>present in general education classrooms to include participate in meaningful, grade appropriate instructional content. While being present in the general education setting increases the likel</w:t>
      </w:r>
      <w:r w:rsidR="007B47F5" w:rsidRPr="00F06923">
        <w:rPr>
          <w:rFonts w:ascii="Times New Roman" w:hAnsi="Times New Roman"/>
          <w:color w:val="000000"/>
          <w:sz w:val="20"/>
          <w:szCs w:val="20"/>
        </w:rPr>
        <w:t>ihood that students with disabilities will have increased exposure to grade level content, the nature of a student’s disability may inhibit student</w:t>
      </w:r>
      <w:r w:rsidR="005437EE" w:rsidRPr="00F06923">
        <w:rPr>
          <w:rFonts w:ascii="Times New Roman" w:hAnsi="Times New Roman"/>
          <w:color w:val="000000"/>
          <w:sz w:val="20"/>
          <w:szCs w:val="20"/>
        </w:rPr>
        <w:t xml:space="preserve">s’ </w:t>
      </w:r>
      <w:r w:rsidR="0019439D" w:rsidRPr="00F06923">
        <w:rPr>
          <w:rFonts w:ascii="Times New Roman" w:hAnsi="Times New Roman"/>
          <w:color w:val="000000"/>
          <w:sz w:val="20"/>
          <w:szCs w:val="20"/>
        </w:rPr>
        <w:t>meaningful involvement</w:t>
      </w:r>
      <w:r w:rsidR="007B47F5" w:rsidRPr="00F06923">
        <w:rPr>
          <w:rFonts w:ascii="Times New Roman" w:hAnsi="Times New Roman"/>
          <w:color w:val="000000"/>
          <w:sz w:val="20"/>
          <w:szCs w:val="20"/>
        </w:rPr>
        <w:t xml:space="preserve"> in curriculum and </w:t>
      </w:r>
      <w:r w:rsidR="0019439D" w:rsidRPr="00F06923">
        <w:rPr>
          <w:rFonts w:ascii="Times New Roman" w:hAnsi="Times New Roman"/>
          <w:color w:val="000000"/>
          <w:sz w:val="20"/>
          <w:szCs w:val="20"/>
        </w:rPr>
        <w:t>instructional</w:t>
      </w:r>
      <w:r w:rsidR="007B47F5" w:rsidRPr="00F06923">
        <w:rPr>
          <w:rFonts w:ascii="Times New Roman" w:hAnsi="Times New Roman"/>
          <w:color w:val="000000"/>
          <w:sz w:val="20"/>
          <w:szCs w:val="20"/>
        </w:rPr>
        <w:t xml:space="preserve"> tasks (Browder, </w:t>
      </w:r>
      <w:proofErr w:type="spellStart"/>
      <w:r w:rsidR="007B47F5" w:rsidRPr="00F06923">
        <w:rPr>
          <w:rFonts w:ascii="Times New Roman" w:hAnsi="Times New Roman"/>
          <w:color w:val="000000"/>
          <w:sz w:val="20"/>
          <w:szCs w:val="20"/>
        </w:rPr>
        <w:t>Wakeman</w:t>
      </w:r>
      <w:proofErr w:type="spellEnd"/>
      <w:r w:rsidR="007B47F5" w:rsidRPr="00F06923">
        <w:rPr>
          <w:rFonts w:ascii="Times New Roman" w:hAnsi="Times New Roman"/>
          <w:color w:val="000000"/>
          <w:sz w:val="20"/>
          <w:szCs w:val="20"/>
        </w:rPr>
        <w:t xml:space="preserve">, Flowers, 2006); Browder, </w:t>
      </w:r>
      <w:proofErr w:type="spellStart"/>
      <w:r w:rsidR="007B47F5" w:rsidRPr="00F06923">
        <w:rPr>
          <w:rFonts w:ascii="Times New Roman" w:hAnsi="Times New Roman"/>
          <w:color w:val="000000"/>
          <w:sz w:val="20"/>
          <w:szCs w:val="20"/>
        </w:rPr>
        <w:t>Wakeman</w:t>
      </w:r>
      <w:proofErr w:type="spellEnd"/>
      <w:r w:rsidR="007B47F5" w:rsidRPr="00F06923">
        <w:rPr>
          <w:rFonts w:ascii="Times New Roman" w:hAnsi="Times New Roman"/>
          <w:color w:val="000000"/>
          <w:sz w:val="20"/>
          <w:szCs w:val="20"/>
        </w:rPr>
        <w:t xml:space="preserve">, Flowers, </w:t>
      </w:r>
      <w:proofErr w:type="spellStart"/>
      <w:r w:rsidR="007B47F5" w:rsidRPr="00F06923">
        <w:rPr>
          <w:rFonts w:ascii="Times New Roman" w:hAnsi="Times New Roman"/>
          <w:color w:val="000000"/>
          <w:sz w:val="20"/>
          <w:szCs w:val="20"/>
        </w:rPr>
        <w:t>Rickelman</w:t>
      </w:r>
      <w:proofErr w:type="spellEnd"/>
      <w:r w:rsidR="007B47F5" w:rsidRPr="00F06923">
        <w:rPr>
          <w:rFonts w:ascii="Times New Roman" w:hAnsi="Times New Roman"/>
          <w:color w:val="000000"/>
          <w:sz w:val="20"/>
          <w:szCs w:val="20"/>
        </w:rPr>
        <w:t xml:space="preserve">, </w:t>
      </w:r>
      <w:proofErr w:type="spellStart"/>
      <w:r w:rsidR="007B47F5" w:rsidRPr="00F06923">
        <w:rPr>
          <w:rFonts w:ascii="Times New Roman" w:hAnsi="Times New Roman"/>
          <w:color w:val="000000"/>
          <w:sz w:val="20"/>
          <w:szCs w:val="20"/>
        </w:rPr>
        <w:t>Pugalee</w:t>
      </w:r>
      <w:proofErr w:type="spellEnd"/>
      <w:r w:rsidR="007B47F5" w:rsidRPr="00F06923">
        <w:rPr>
          <w:rFonts w:ascii="Times New Roman" w:hAnsi="Times New Roman"/>
          <w:color w:val="000000"/>
          <w:sz w:val="20"/>
          <w:szCs w:val="20"/>
        </w:rPr>
        <w:t xml:space="preserve">, &amp; </w:t>
      </w:r>
      <w:proofErr w:type="spellStart"/>
      <w:r w:rsidR="007B47F5" w:rsidRPr="00F06923">
        <w:rPr>
          <w:rFonts w:ascii="Times New Roman" w:hAnsi="Times New Roman"/>
          <w:color w:val="000000"/>
          <w:sz w:val="20"/>
          <w:szCs w:val="20"/>
        </w:rPr>
        <w:t>Karvoven</w:t>
      </w:r>
      <w:proofErr w:type="spellEnd"/>
      <w:r w:rsidR="007B47F5" w:rsidRPr="00F06923">
        <w:rPr>
          <w:rFonts w:ascii="Times New Roman" w:hAnsi="Times New Roman"/>
          <w:color w:val="000000"/>
          <w:sz w:val="20"/>
          <w:szCs w:val="20"/>
        </w:rPr>
        <w:t xml:space="preserve">, 2007; </w:t>
      </w:r>
      <w:proofErr w:type="spellStart"/>
      <w:r w:rsidR="007B47F5" w:rsidRPr="00F06923">
        <w:rPr>
          <w:rFonts w:ascii="Times New Roman" w:hAnsi="Times New Roman"/>
          <w:color w:val="000000"/>
          <w:sz w:val="20"/>
          <w:szCs w:val="20"/>
        </w:rPr>
        <w:t>Wehmeyer</w:t>
      </w:r>
      <w:proofErr w:type="spellEnd"/>
      <w:r w:rsidR="007B47F5" w:rsidRPr="00F06923">
        <w:rPr>
          <w:rFonts w:ascii="Times New Roman" w:hAnsi="Times New Roman"/>
          <w:color w:val="000000"/>
          <w:sz w:val="20"/>
          <w:szCs w:val="20"/>
        </w:rPr>
        <w:t xml:space="preserve">, </w:t>
      </w:r>
      <w:proofErr w:type="spellStart"/>
      <w:r w:rsidR="007B47F5" w:rsidRPr="00F06923">
        <w:rPr>
          <w:rFonts w:ascii="Times New Roman" w:hAnsi="Times New Roman"/>
          <w:color w:val="000000"/>
          <w:sz w:val="20"/>
          <w:szCs w:val="20"/>
        </w:rPr>
        <w:t>Lattin</w:t>
      </w:r>
      <w:proofErr w:type="spellEnd"/>
      <w:r w:rsidR="007B47F5" w:rsidRPr="00F06923">
        <w:rPr>
          <w:rFonts w:ascii="Times New Roman" w:hAnsi="Times New Roman"/>
          <w:color w:val="000000"/>
          <w:sz w:val="20"/>
          <w:szCs w:val="20"/>
        </w:rPr>
        <w:t>, Lapp-</w:t>
      </w:r>
      <w:proofErr w:type="spellStart"/>
      <w:r w:rsidR="007B47F5" w:rsidRPr="00F06923">
        <w:rPr>
          <w:rFonts w:ascii="Times New Roman" w:hAnsi="Times New Roman"/>
          <w:color w:val="000000"/>
          <w:sz w:val="20"/>
          <w:szCs w:val="20"/>
        </w:rPr>
        <w:t>Rincker</w:t>
      </w:r>
      <w:proofErr w:type="spellEnd"/>
      <w:r w:rsidR="007B47F5" w:rsidRPr="00F06923">
        <w:rPr>
          <w:rFonts w:ascii="Times New Roman" w:hAnsi="Times New Roman"/>
          <w:color w:val="000000"/>
          <w:sz w:val="20"/>
          <w:szCs w:val="20"/>
        </w:rPr>
        <w:t xml:space="preserve">, &amp; </w:t>
      </w:r>
      <w:proofErr w:type="spellStart"/>
      <w:r w:rsidR="007B47F5" w:rsidRPr="00F06923">
        <w:rPr>
          <w:rFonts w:ascii="Times New Roman" w:hAnsi="Times New Roman"/>
          <w:color w:val="000000"/>
          <w:sz w:val="20"/>
          <w:szCs w:val="20"/>
        </w:rPr>
        <w:t>Agran</w:t>
      </w:r>
      <w:proofErr w:type="spellEnd"/>
      <w:r w:rsidR="007B47F5" w:rsidRPr="00F06923">
        <w:rPr>
          <w:rFonts w:ascii="Times New Roman" w:hAnsi="Times New Roman"/>
          <w:color w:val="000000"/>
          <w:sz w:val="20"/>
          <w:szCs w:val="20"/>
        </w:rPr>
        <w:t>, 2003)</w:t>
      </w:r>
      <w:r w:rsidR="00555889" w:rsidRPr="00F06923">
        <w:rPr>
          <w:rFonts w:ascii="Times New Roman" w:hAnsi="Times New Roman"/>
          <w:color w:val="000000"/>
          <w:sz w:val="20"/>
          <w:szCs w:val="20"/>
        </w:rPr>
        <w:t xml:space="preserve">. </w:t>
      </w:r>
      <w:proofErr w:type="spellStart"/>
      <w:r w:rsidR="00555889" w:rsidRPr="00F06923">
        <w:rPr>
          <w:rFonts w:ascii="Times New Roman" w:hAnsi="Times New Roman"/>
          <w:color w:val="000000"/>
          <w:sz w:val="20"/>
          <w:szCs w:val="20"/>
        </w:rPr>
        <w:t>Wehmeyer</w:t>
      </w:r>
      <w:proofErr w:type="spellEnd"/>
      <w:r w:rsidR="005437EE" w:rsidRPr="00F06923">
        <w:rPr>
          <w:rFonts w:ascii="Times New Roman" w:hAnsi="Times New Roman"/>
          <w:color w:val="000000"/>
          <w:sz w:val="20"/>
          <w:szCs w:val="20"/>
        </w:rPr>
        <w:t xml:space="preserve"> et al.</w:t>
      </w:r>
      <w:r w:rsidR="007864C4" w:rsidRPr="00F06923">
        <w:rPr>
          <w:rFonts w:ascii="Times New Roman" w:hAnsi="Times New Roman"/>
          <w:color w:val="000000"/>
          <w:sz w:val="20"/>
          <w:szCs w:val="20"/>
        </w:rPr>
        <w:t xml:space="preserve"> </w:t>
      </w:r>
      <w:r w:rsidR="00555889" w:rsidRPr="00F06923">
        <w:rPr>
          <w:rFonts w:ascii="Times New Roman" w:hAnsi="Times New Roman"/>
          <w:color w:val="000000"/>
          <w:sz w:val="20"/>
          <w:szCs w:val="20"/>
        </w:rPr>
        <w:t>(2003) conducted an observational study to examine the amount of time that students with disabilities spent engaged in tasks linked to grade level standards in both general and special education setting</w:t>
      </w:r>
      <w:r w:rsidR="0019439D" w:rsidRPr="00F06923">
        <w:rPr>
          <w:rFonts w:ascii="Times New Roman" w:hAnsi="Times New Roman"/>
          <w:color w:val="000000"/>
          <w:sz w:val="20"/>
          <w:szCs w:val="20"/>
        </w:rPr>
        <w:t>s</w:t>
      </w:r>
      <w:r w:rsidR="00555889" w:rsidRPr="00F06923">
        <w:rPr>
          <w:rFonts w:ascii="Times New Roman" w:hAnsi="Times New Roman"/>
          <w:color w:val="000000"/>
          <w:sz w:val="20"/>
          <w:szCs w:val="20"/>
        </w:rPr>
        <w:t xml:space="preserve">. </w:t>
      </w:r>
      <w:proofErr w:type="spellStart"/>
      <w:r w:rsidR="00555889" w:rsidRPr="00F06923">
        <w:rPr>
          <w:rFonts w:ascii="Times New Roman" w:hAnsi="Times New Roman"/>
          <w:color w:val="000000"/>
          <w:sz w:val="20"/>
          <w:szCs w:val="20"/>
        </w:rPr>
        <w:t>Wehmeyer</w:t>
      </w:r>
      <w:proofErr w:type="spellEnd"/>
      <w:r w:rsidR="00555889" w:rsidRPr="00F06923">
        <w:rPr>
          <w:rFonts w:ascii="Times New Roman" w:hAnsi="Times New Roman"/>
          <w:color w:val="000000"/>
          <w:sz w:val="20"/>
          <w:szCs w:val="20"/>
        </w:rPr>
        <w:t xml:space="preserve"> </w:t>
      </w:r>
      <w:r w:rsidR="005437EE" w:rsidRPr="00F06923">
        <w:rPr>
          <w:rFonts w:ascii="Times New Roman" w:hAnsi="Times New Roman"/>
          <w:color w:val="000000"/>
          <w:sz w:val="20"/>
          <w:szCs w:val="20"/>
        </w:rPr>
        <w:t>and colleagues</w:t>
      </w:r>
      <w:r w:rsidR="00555889" w:rsidRPr="00F06923">
        <w:rPr>
          <w:rFonts w:ascii="Times New Roman" w:hAnsi="Times New Roman"/>
          <w:color w:val="000000"/>
          <w:sz w:val="20"/>
          <w:szCs w:val="20"/>
        </w:rPr>
        <w:t xml:space="preserve"> found that students who were included in g</w:t>
      </w:r>
      <w:r w:rsidR="005437EE" w:rsidRPr="00F06923">
        <w:rPr>
          <w:rFonts w:ascii="Times New Roman" w:hAnsi="Times New Roman"/>
          <w:color w:val="000000"/>
          <w:sz w:val="20"/>
          <w:szCs w:val="20"/>
        </w:rPr>
        <w:t>eneral education classrooms were engaged</w:t>
      </w:r>
      <w:r w:rsidR="00555889" w:rsidRPr="00F06923">
        <w:rPr>
          <w:rFonts w:ascii="Times New Roman" w:hAnsi="Times New Roman"/>
          <w:color w:val="000000"/>
          <w:sz w:val="20"/>
          <w:szCs w:val="20"/>
        </w:rPr>
        <w:t xml:space="preserve"> in tasks linked to the grade content standards during 90% of observation intervals. </w:t>
      </w:r>
      <w:r w:rsidR="00580C73" w:rsidRPr="00F06923">
        <w:rPr>
          <w:rFonts w:ascii="Times New Roman" w:hAnsi="Times New Roman"/>
          <w:color w:val="000000"/>
          <w:sz w:val="20"/>
          <w:szCs w:val="20"/>
        </w:rPr>
        <w:t>Conversely,</w:t>
      </w:r>
      <w:r w:rsidR="00555889" w:rsidRPr="00F06923">
        <w:rPr>
          <w:rFonts w:ascii="Times New Roman" w:hAnsi="Times New Roman"/>
          <w:color w:val="000000"/>
          <w:sz w:val="20"/>
          <w:szCs w:val="20"/>
        </w:rPr>
        <w:t xml:space="preserve"> students with disabilities who were educated in the special education settin</w:t>
      </w:r>
      <w:r w:rsidR="00E32174" w:rsidRPr="00F06923">
        <w:rPr>
          <w:rFonts w:ascii="Times New Roman" w:hAnsi="Times New Roman"/>
          <w:color w:val="000000"/>
          <w:sz w:val="20"/>
          <w:szCs w:val="20"/>
        </w:rPr>
        <w:t>g</w:t>
      </w:r>
      <w:r w:rsidR="005437EE" w:rsidRPr="00F06923">
        <w:rPr>
          <w:rFonts w:ascii="Times New Roman" w:hAnsi="Times New Roman"/>
          <w:color w:val="000000"/>
          <w:sz w:val="20"/>
          <w:szCs w:val="20"/>
        </w:rPr>
        <w:t xml:space="preserve"> (e.g. resource room, special day class)</w:t>
      </w:r>
      <w:r w:rsidR="00E32174" w:rsidRPr="00F06923">
        <w:rPr>
          <w:rFonts w:ascii="Times New Roman" w:hAnsi="Times New Roman"/>
          <w:color w:val="000000"/>
          <w:sz w:val="20"/>
          <w:szCs w:val="20"/>
        </w:rPr>
        <w:t xml:space="preserve"> were engaged in tasks </w:t>
      </w:r>
      <w:r w:rsidR="00E32174" w:rsidRPr="00F06923">
        <w:rPr>
          <w:rFonts w:ascii="Times New Roman" w:hAnsi="Times New Roman"/>
          <w:color w:val="000000"/>
          <w:sz w:val="20"/>
          <w:szCs w:val="20"/>
        </w:rPr>
        <w:lastRenderedPageBreak/>
        <w:t>li</w:t>
      </w:r>
      <w:r w:rsidR="005437EE" w:rsidRPr="00F06923">
        <w:rPr>
          <w:rFonts w:ascii="Times New Roman" w:hAnsi="Times New Roman"/>
          <w:color w:val="000000"/>
          <w:sz w:val="20"/>
          <w:szCs w:val="20"/>
        </w:rPr>
        <w:t xml:space="preserve">nked to grade level content only </w:t>
      </w:r>
      <w:r w:rsidR="00E32174" w:rsidRPr="00F06923">
        <w:rPr>
          <w:rFonts w:ascii="Times New Roman" w:hAnsi="Times New Roman"/>
          <w:color w:val="000000"/>
          <w:sz w:val="20"/>
          <w:szCs w:val="20"/>
        </w:rPr>
        <w:t>50% of the time. The results of this study suggest that inclusion in the general education setting, for students with disabilities, appeared to increas</w:t>
      </w:r>
      <w:r w:rsidR="00B1161B" w:rsidRPr="00F06923">
        <w:rPr>
          <w:rFonts w:ascii="Times New Roman" w:hAnsi="Times New Roman"/>
          <w:color w:val="000000"/>
          <w:sz w:val="20"/>
          <w:szCs w:val="20"/>
        </w:rPr>
        <w:t>e the amount of time spent on instructional</w:t>
      </w:r>
      <w:r w:rsidR="00E32174" w:rsidRPr="00F06923">
        <w:rPr>
          <w:rFonts w:ascii="Times New Roman" w:hAnsi="Times New Roman"/>
          <w:color w:val="000000"/>
          <w:sz w:val="20"/>
          <w:szCs w:val="20"/>
        </w:rPr>
        <w:t xml:space="preserve"> tasks that are linked to grade level content. </w:t>
      </w:r>
    </w:p>
    <w:p w:rsidR="00E16B14" w:rsidRDefault="00E16B14" w:rsidP="00E16B14">
      <w:pPr>
        <w:spacing w:before="240" w:after="0" w:line="240" w:lineRule="auto"/>
        <w:contextualSpacing/>
        <w:jc w:val="both"/>
        <w:rPr>
          <w:rFonts w:ascii="Times New Roman" w:hAnsi="Times New Roman"/>
          <w:color w:val="000000"/>
          <w:sz w:val="20"/>
          <w:szCs w:val="20"/>
        </w:rPr>
      </w:pPr>
    </w:p>
    <w:p w:rsidR="00580C73" w:rsidRPr="00F06923" w:rsidRDefault="00A47520" w:rsidP="00E16B14">
      <w:pPr>
        <w:spacing w:before="240" w:after="0" w:line="240" w:lineRule="auto"/>
        <w:contextualSpacing/>
        <w:jc w:val="both"/>
        <w:rPr>
          <w:rFonts w:ascii="Times New Roman" w:hAnsi="Times New Roman"/>
          <w:b/>
          <w:sz w:val="20"/>
          <w:szCs w:val="20"/>
        </w:rPr>
      </w:pPr>
      <w:r w:rsidRPr="00F06923">
        <w:rPr>
          <w:rFonts w:ascii="Times New Roman" w:hAnsi="Times New Roman"/>
          <w:color w:val="000000"/>
          <w:sz w:val="20"/>
          <w:szCs w:val="20"/>
        </w:rPr>
        <w:t>Fisher, Roach, and Frey</w:t>
      </w:r>
      <w:r w:rsidR="001C6B53" w:rsidRPr="00F06923">
        <w:rPr>
          <w:rFonts w:ascii="Times New Roman" w:hAnsi="Times New Roman"/>
          <w:color w:val="000000"/>
          <w:sz w:val="20"/>
          <w:szCs w:val="20"/>
        </w:rPr>
        <w:t xml:space="preserve"> </w:t>
      </w:r>
      <w:r w:rsidRPr="00F06923">
        <w:rPr>
          <w:rFonts w:ascii="Times New Roman" w:hAnsi="Times New Roman"/>
          <w:color w:val="000000"/>
          <w:sz w:val="20"/>
          <w:szCs w:val="20"/>
        </w:rPr>
        <w:t xml:space="preserve">(2002), </w:t>
      </w:r>
      <w:r w:rsidR="005437EE" w:rsidRPr="00F06923">
        <w:rPr>
          <w:rFonts w:ascii="Times New Roman" w:hAnsi="Times New Roman"/>
          <w:color w:val="000000"/>
          <w:sz w:val="20"/>
          <w:szCs w:val="20"/>
        </w:rPr>
        <w:t>as part of</w:t>
      </w:r>
      <w:r w:rsidRPr="00F06923">
        <w:rPr>
          <w:rFonts w:ascii="Times New Roman" w:hAnsi="Times New Roman"/>
          <w:color w:val="000000"/>
          <w:sz w:val="20"/>
          <w:szCs w:val="20"/>
        </w:rPr>
        <w:t xml:space="preserve"> their review of inclusion literature, assert</w:t>
      </w:r>
      <w:r w:rsidR="005437EE" w:rsidRPr="00F06923">
        <w:rPr>
          <w:rFonts w:ascii="Times New Roman" w:hAnsi="Times New Roman"/>
          <w:color w:val="000000"/>
          <w:sz w:val="20"/>
          <w:szCs w:val="20"/>
        </w:rPr>
        <w:t>ed</w:t>
      </w:r>
      <w:r w:rsidRPr="00F06923">
        <w:rPr>
          <w:rFonts w:ascii="Times New Roman" w:hAnsi="Times New Roman"/>
          <w:color w:val="000000"/>
          <w:sz w:val="20"/>
          <w:szCs w:val="20"/>
        </w:rPr>
        <w:t xml:space="preserve"> that there is evidence beginning from the late 1980s that suggest that the segregation of students with disabilities in separate classes is injurious to their learning. </w:t>
      </w:r>
      <w:r w:rsidR="003F0F15" w:rsidRPr="00F06923">
        <w:rPr>
          <w:rFonts w:ascii="Times New Roman" w:hAnsi="Times New Roman"/>
          <w:color w:val="000000"/>
          <w:sz w:val="20"/>
          <w:szCs w:val="20"/>
        </w:rPr>
        <w:t xml:space="preserve">Fisher </w:t>
      </w:r>
      <w:r w:rsidR="0019439D" w:rsidRPr="00F06923">
        <w:rPr>
          <w:rFonts w:ascii="Times New Roman" w:hAnsi="Times New Roman"/>
          <w:color w:val="000000"/>
          <w:sz w:val="20"/>
          <w:szCs w:val="20"/>
        </w:rPr>
        <w:t>and colleagues</w:t>
      </w:r>
      <w:r w:rsidR="003F0F15" w:rsidRPr="00F06923">
        <w:rPr>
          <w:rFonts w:ascii="Times New Roman" w:hAnsi="Times New Roman"/>
          <w:color w:val="000000"/>
          <w:sz w:val="20"/>
          <w:szCs w:val="20"/>
        </w:rPr>
        <w:t xml:space="preserve"> also</w:t>
      </w:r>
      <w:r w:rsidRPr="00F06923">
        <w:rPr>
          <w:rFonts w:ascii="Times New Roman" w:hAnsi="Times New Roman"/>
          <w:color w:val="000000"/>
          <w:sz w:val="20"/>
          <w:szCs w:val="20"/>
        </w:rPr>
        <w:t xml:space="preserve"> </w:t>
      </w:r>
      <w:r w:rsidR="005437EE" w:rsidRPr="00F06923">
        <w:rPr>
          <w:rFonts w:ascii="Times New Roman" w:hAnsi="Times New Roman"/>
          <w:color w:val="000000"/>
          <w:sz w:val="20"/>
          <w:szCs w:val="20"/>
        </w:rPr>
        <w:t>indicated</w:t>
      </w:r>
      <w:r w:rsidRPr="00F06923">
        <w:rPr>
          <w:rFonts w:ascii="Times New Roman" w:hAnsi="Times New Roman"/>
          <w:color w:val="000000"/>
          <w:sz w:val="20"/>
          <w:szCs w:val="20"/>
        </w:rPr>
        <w:t xml:space="preserve"> that students</w:t>
      </w:r>
      <w:r w:rsidR="003F0F15" w:rsidRPr="00F06923">
        <w:rPr>
          <w:rFonts w:ascii="Times New Roman" w:hAnsi="Times New Roman"/>
          <w:color w:val="000000"/>
          <w:sz w:val="20"/>
          <w:szCs w:val="20"/>
        </w:rPr>
        <w:t xml:space="preserve"> with disabilities who are educated</w:t>
      </w:r>
      <w:r w:rsidRPr="00F06923">
        <w:rPr>
          <w:rFonts w:ascii="Times New Roman" w:hAnsi="Times New Roman"/>
          <w:color w:val="000000"/>
          <w:sz w:val="20"/>
          <w:szCs w:val="20"/>
        </w:rPr>
        <w:t xml:space="preserve"> in general education classes generally perform better than average in the regular classroom (p.71). </w:t>
      </w:r>
      <w:r w:rsidR="00923E99" w:rsidRPr="00F06923">
        <w:rPr>
          <w:rFonts w:ascii="Times New Roman" w:hAnsi="Times New Roman"/>
          <w:color w:val="000000"/>
          <w:sz w:val="20"/>
          <w:szCs w:val="20"/>
        </w:rPr>
        <w:t xml:space="preserve">For example, Waldron and </w:t>
      </w:r>
      <w:proofErr w:type="spellStart"/>
      <w:r w:rsidR="00923E99" w:rsidRPr="00F06923">
        <w:rPr>
          <w:rFonts w:ascii="Times New Roman" w:hAnsi="Times New Roman"/>
          <w:color w:val="000000"/>
          <w:sz w:val="20"/>
          <w:szCs w:val="20"/>
        </w:rPr>
        <w:t>McLeskey</w:t>
      </w:r>
      <w:proofErr w:type="spellEnd"/>
      <w:r w:rsidR="00923E99" w:rsidRPr="00F06923">
        <w:rPr>
          <w:rFonts w:ascii="Times New Roman" w:hAnsi="Times New Roman"/>
          <w:color w:val="000000"/>
          <w:sz w:val="20"/>
          <w:szCs w:val="20"/>
        </w:rPr>
        <w:t xml:space="preserve"> (1998) compared the performance of 71 elementary students with learning disabilities who were educated in the inclusive setting and 73 students who were educated in a special education setting. The students performed similarly on pre-test measures in reading, math, and on cognitive measures. However, post-test results </w:t>
      </w:r>
      <w:r w:rsidR="00E76B5C" w:rsidRPr="00F06923">
        <w:rPr>
          <w:rFonts w:ascii="Times New Roman" w:hAnsi="Times New Roman"/>
          <w:color w:val="000000"/>
          <w:sz w:val="20"/>
          <w:szCs w:val="20"/>
        </w:rPr>
        <w:t xml:space="preserve">indicated that students who received instruction in the general education setting showed significant gains in reading compared to students who were educated in the small group setting; in some cases, the rate of growth among these students approached the rate of growth for their counterparts without disabilities. </w:t>
      </w:r>
      <w:r w:rsidR="0036453E" w:rsidRPr="00F06923">
        <w:rPr>
          <w:rFonts w:ascii="Times New Roman" w:hAnsi="Times New Roman"/>
          <w:color w:val="000000"/>
          <w:sz w:val="20"/>
          <w:szCs w:val="20"/>
        </w:rPr>
        <w:t xml:space="preserve">The same results were not </w:t>
      </w:r>
      <w:r w:rsidR="005437EE" w:rsidRPr="00F06923">
        <w:rPr>
          <w:rFonts w:ascii="Times New Roman" w:hAnsi="Times New Roman"/>
          <w:color w:val="000000"/>
          <w:sz w:val="20"/>
          <w:szCs w:val="20"/>
        </w:rPr>
        <w:t>observed</w:t>
      </w:r>
      <w:r w:rsidR="0036453E" w:rsidRPr="00F06923">
        <w:rPr>
          <w:rFonts w:ascii="Times New Roman" w:hAnsi="Times New Roman"/>
          <w:color w:val="000000"/>
          <w:sz w:val="20"/>
          <w:szCs w:val="20"/>
        </w:rPr>
        <w:t xml:space="preserve"> in math</w:t>
      </w:r>
      <w:r w:rsidR="005437EE" w:rsidRPr="00F06923">
        <w:rPr>
          <w:rFonts w:ascii="Times New Roman" w:hAnsi="Times New Roman"/>
          <w:color w:val="000000"/>
          <w:sz w:val="20"/>
          <w:szCs w:val="20"/>
        </w:rPr>
        <w:t xml:space="preserve"> achievement</w:t>
      </w:r>
      <w:r w:rsidR="0036453E" w:rsidRPr="00F06923">
        <w:rPr>
          <w:rFonts w:ascii="Times New Roman" w:hAnsi="Times New Roman"/>
          <w:color w:val="000000"/>
          <w:sz w:val="20"/>
          <w:szCs w:val="20"/>
        </w:rPr>
        <w:t xml:space="preserve">; difference in findings among content areas may be attributed, in part, to a lack of specialized instruction across inclusion classrooms. However, these differences further illuminate that access to the general </w:t>
      </w:r>
      <w:r w:rsidR="0019439D" w:rsidRPr="00F06923">
        <w:rPr>
          <w:rFonts w:ascii="Times New Roman" w:hAnsi="Times New Roman"/>
          <w:color w:val="000000"/>
          <w:sz w:val="20"/>
          <w:szCs w:val="20"/>
        </w:rPr>
        <w:t>classroom</w:t>
      </w:r>
      <w:r w:rsidR="0036453E" w:rsidRPr="00F06923">
        <w:rPr>
          <w:rFonts w:ascii="Times New Roman" w:hAnsi="Times New Roman"/>
          <w:color w:val="000000"/>
          <w:sz w:val="20"/>
          <w:szCs w:val="20"/>
        </w:rPr>
        <w:t xml:space="preserve">, in and of itself, may not be sufficient to yield changes in student performance. Baker and </w:t>
      </w:r>
      <w:proofErr w:type="spellStart"/>
      <w:r w:rsidR="0036453E" w:rsidRPr="00F06923">
        <w:rPr>
          <w:rFonts w:ascii="Times New Roman" w:hAnsi="Times New Roman"/>
          <w:color w:val="000000"/>
          <w:sz w:val="20"/>
          <w:szCs w:val="20"/>
        </w:rPr>
        <w:t>Zigmond</w:t>
      </w:r>
      <w:proofErr w:type="spellEnd"/>
      <w:r w:rsidR="0036453E" w:rsidRPr="00F06923">
        <w:rPr>
          <w:rFonts w:ascii="Times New Roman" w:hAnsi="Times New Roman"/>
          <w:color w:val="000000"/>
          <w:sz w:val="20"/>
          <w:szCs w:val="20"/>
        </w:rPr>
        <w:t xml:space="preserve"> (1995)</w:t>
      </w:r>
      <w:r w:rsidR="000357C0" w:rsidRPr="00F06923">
        <w:rPr>
          <w:rFonts w:ascii="Times New Roman" w:hAnsi="Times New Roman"/>
          <w:color w:val="000000"/>
          <w:sz w:val="20"/>
          <w:szCs w:val="20"/>
        </w:rPr>
        <w:t>, in their case study analysi</w:t>
      </w:r>
      <w:r w:rsidR="0036453E" w:rsidRPr="00F06923">
        <w:rPr>
          <w:rFonts w:ascii="Times New Roman" w:hAnsi="Times New Roman"/>
          <w:color w:val="000000"/>
          <w:sz w:val="20"/>
          <w:szCs w:val="20"/>
        </w:rPr>
        <w:t>s of five stud</w:t>
      </w:r>
      <w:r w:rsidR="000357C0" w:rsidRPr="00F06923">
        <w:rPr>
          <w:rFonts w:ascii="Times New Roman" w:hAnsi="Times New Roman"/>
          <w:color w:val="000000"/>
          <w:sz w:val="20"/>
          <w:szCs w:val="20"/>
        </w:rPr>
        <w:t xml:space="preserve">ents with learning disabilities, found that, while the students did appear to make </w:t>
      </w:r>
      <w:r w:rsidR="008333B0" w:rsidRPr="00F06923">
        <w:rPr>
          <w:rFonts w:ascii="Times New Roman" w:hAnsi="Times New Roman"/>
          <w:color w:val="000000"/>
          <w:sz w:val="20"/>
          <w:szCs w:val="20"/>
        </w:rPr>
        <w:t xml:space="preserve">some progress towards academic goals, they did not consistently receive instruction in the inclusive setting that was linked to grade level content standards. These studies further demonstrate the need to continuously collect data to ensure that students with disabilities have access to the general curriculum and are engaged in tasks that are linked to grade level content standards. </w:t>
      </w:r>
    </w:p>
    <w:p w:rsidR="00E16B14" w:rsidRDefault="00E16B14" w:rsidP="00E16B14">
      <w:pPr>
        <w:spacing w:after="0" w:line="240" w:lineRule="auto"/>
        <w:contextualSpacing/>
        <w:jc w:val="both"/>
        <w:rPr>
          <w:rFonts w:ascii="Times New Roman" w:hAnsi="Times New Roman"/>
          <w:b/>
          <w:sz w:val="20"/>
          <w:szCs w:val="20"/>
        </w:rPr>
      </w:pPr>
    </w:p>
    <w:p w:rsidR="00F77910" w:rsidRPr="00E16B14" w:rsidRDefault="000E5EA8" w:rsidP="00E16B14">
      <w:pPr>
        <w:spacing w:after="0" w:line="240" w:lineRule="auto"/>
        <w:contextualSpacing/>
        <w:jc w:val="both"/>
        <w:rPr>
          <w:rFonts w:ascii="Times New Roman" w:hAnsi="Times New Roman"/>
          <w:i/>
          <w:sz w:val="20"/>
          <w:szCs w:val="20"/>
        </w:rPr>
      </w:pPr>
      <w:r w:rsidRPr="00E16B14">
        <w:rPr>
          <w:rFonts w:ascii="Times New Roman" w:hAnsi="Times New Roman"/>
          <w:i/>
          <w:sz w:val="20"/>
          <w:szCs w:val="20"/>
        </w:rPr>
        <w:t>IEP</w:t>
      </w:r>
      <w:r w:rsidR="0008429B" w:rsidRPr="00E16B14">
        <w:rPr>
          <w:rFonts w:ascii="Times New Roman" w:hAnsi="Times New Roman"/>
          <w:i/>
          <w:sz w:val="20"/>
          <w:szCs w:val="20"/>
        </w:rPr>
        <w:t>s</w:t>
      </w:r>
      <w:r w:rsidRPr="00E16B14">
        <w:rPr>
          <w:rFonts w:ascii="Times New Roman" w:hAnsi="Times New Roman"/>
          <w:i/>
          <w:sz w:val="20"/>
          <w:szCs w:val="20"/>
        </w:rPr>
        <w:t xml:space="preserve"> </w:t>
      </w:r>
      <w:r w:rsidR="0008429B" w:rsidRPr="00E16B14">
        <w:rPr>
          <w:rFonts w:ascii="Times New Roman" w:hAnsi="Times New Roman"/>
          <w:i/>
          <w:sz w:val="20"/>
          <w:szCs w:val="20"/>
        </w:rPr>
        <w:t>Link to</w:t>
      </w:r>
      <w:r w:rsidRPr="00E16B14">
        <w:rPr>
          <w:rFonts w:ascii="Times New Roman" w:hAnsi="Times New Roman"/>
          <w:i/>
          <w:sz w:val="20"/>
          <w:szCs w:val="20"/>
        </w:rPr>
        <w:t xml:space="preserve"> </w:t>
      </w:r>
      <w:r w:rsidR="0008429B" w:rsidRPr="00E16B14">
        <w:rPr>
          <w:rFonts w:ascii="Times New Roman" w:hAnsi="Times New Roman"/>
          <w:i/>
          <w:sz w:val="20"/>
          <w:szCs w:val="20"/>
        </w:rPr>
        <w:t xml:space="preserve">Curricular Access and </w:t>
      </w:r>
      <w:r w:rsidRPr="00E16B14">
        <w:rPr>
          <w:rFonts w:ascii="Times New Roman" w:hAnsi="Times New Roman"/>
          <w:i/>
          <w:sz w:val="20"/>
          <w:szCs w:val="20"/>
        </w:rPr>
        <w:t>Student Performance</w:t>
      </w:r>
    </w:p>
    <w:p w:rsidR="005D3F35" w:rsidRPr="00F06923" w:rsidRDefault="00BC6DBD" w:rsidP="00E16B14">
      <w:pPr>
        <w:autoSpaceDE w:val="0"/>
        <w:autoSpaceDN w:val="0"/>
        <w:adjustRightInd w:val="0"/>
        <w:spacing w:after="0" w:line="240" w:lineRule="auto"/>
        <w:jc w:val="both"/>
        <w:rPr>
          <w:rFonts w:ascii="Times New Roman" w:hAnsi="Times New Roman"/>
          <w:sz w:val="20"/>
          <w:szCs w:val="20"/>
        </w:rPr>
      </w:pPr>
      <w:r w:rsidRPr="00F06923">
        <w:rPr>
          <w:rFonts w:ascii="Times New Roman" w:hAnsi="Times New Roman"/>
          <w:sz w:val="20"/>
          <w:szCs w:val="20"/>
        </w:rPr>
        <w:t xml:space="preserve">Federal regulations require that students with disabilities have access to the general curriculum and work towards the same goals as all students; however, the </w:t>
      </w:r>
      <w:r w:rsidR="00BA06CC" w:rsidRPr="00F06923">
        <w:rPr>
          <w:rFonts w:ascii="Times New Roman" w:hAnsi="Times New Roman"/>
          <w:sz w:val="20"/>
          <w:szCs w:val="20"/>
        </w:rPr>
        <w:t xml:space="preserve">unique </w:t>
      </w:r>
      <w:r w:rsidRPr="00F06923">
        <w:rPr>
          <w:rFonts w:ascii="Times New Roman" w:hAnsi="Times New Roman"/>
          <w:sz w:val="20"/>
          <w:szCs w:val="20"/>
        </w:rPr>
        <w:t>needs of students with disabilities must also be taken into account in designing appropriate services. Thus, students’ IEPs must include documentation regarding consideration of the most appropriate levels and modes of access to the general curriculum (Roach &amp; Ellio</w:t>
      </w:r>
      <w:r w:rsidR="001C6841" w:rsidRPr="00F06923">
        <w:rPr>
          <w:rFonts w:ascii="Times New Roman" w:hAnsi="Times New Roman"/>
          <w:sz w:val="20"/>
          <w:szCs w:val="20"/>
        </w:rPr>
        <w:t>t</w:t>
      </w:r>
      <w:r w:rsidRPr="00F06923">
        <w:rPr>
          <w:rFonts w:ascii="Times New Roman" w:hAnsi="Times New Roman"/>
          <w:sz w:val="20"/>
          <w:szCs w:val="20"/>
        </w:rPr>
        <w:t>t, 2006).  The process of designing an educational program based on individual student needs is intended to address all aspects</w:t>
      </w:r>
      <w:r w:rsidR="005C7EDB">
        <w:rPr>
          <w:rFonts w:ascii="Times New Roman" w:hAnsi="Times New Roman"/>
          <w:sz w:val="20"/>
          <w:szCs w:val="20"/>
        </w:rPr>
        <w:t xml:space="preserve"> of the educational experience </w:t>
      </w:r>
      <w:r w:rsidRPr="005C7EDB">
        <w:rPr>
          <w:rFonts w:ascii="Times New Roman" w:hAnsi="Times New Roman"/>
          <w:i/>
          <w:sz w:val="20"/>
          <w:szCs w:val="20"/>
        </w:rPr>
        <w:t>including formal and informal curriculum (what), instruction (how), and placement (where</w:t>
      </w:r>
      <w:r w:rsidR="00BA06CC" w:rsidRPr="005C7EDB">
        <w:rPr>
          <w:rFonts w:ascii="Times New Roman" w:hAnsi="Times New Roman"/>
          <w:i/>
          <w:sz w:val="20"/>
          <w:szCs w:val="20"/>
        </w:rPr>
        <w:t xml:space="preserve">) </w:t>
      </w:r>
      <w:r w:rsidR="00BA06CC" w:rsidRPr="005C7EDB">
        <w:rPr>
          <w:rFonts w:ascii="Times New Roman" w:hAnsi="Times New Roman"/>
          <w:sz w:val="20"/>
          <w:szCs w:val="20"/>
        </w:rPr>
        <w:t>(</w:t>
      </w:r>
      <w:proofErr w:type="spellStart"/>
      <w:r w:rsidRPr="005C7EDB">
        <w:rPr>
          <w:rFonts w:ascii="Times New Roman" w:hAnsi="Times New Roman"/>
          <w:sz w:val="20"/>
          <w:szCs w:val="20"/>
        </w:rPr>
        <w:t>Wehmeyer</w:t>
      </w:r>
      <w:proofErr w:type="spellEnd"/>
      <w:r w:rsidRPr="005C7EDB">
        <w:rPr>
          <w:rFonts w:ascii="Times New Roman" w:hAnsi="Times New Roman"/>
          <w:sz w:val="20"/>
          <w:szCs w:val="20"/>
        </w:rPr>
        <w:t xml:space="preserve">, </w:t>
      </w:r>
      <w:proofErr w:type="spellStart"/>
      <w:r w:rsidRPr="005C7EDB">
        <w:rPr>
          <w:rFonts w:ascii="Times New Roman" w:hAnsi="Times New Roman"/>
          <w:sz w:val="20"/>
          <w:szCs w:val="20"/>
        </w:rPr>
        <w:t>Lattin</w:t>
      </w:r>
      <w:proofErr w:type="spellEnd"/>
      <w:r w:rsidRPr="005C7EDB">
        <w:rPr>
          <w:rFonts w:ascii="Times New Roman" w:hAnsi="Times New Roman"/>
          <w:sz w:val="20"/>
          <w:szCs w:val="20"/>
        </w:rPr>
        <w:t xml:space="preserve">, </w:t>
      </w:r>
      <w:r w:rsidR="00CD5741" w:rsidRPr="005C7EDB">
        <w:rPr>
          <w:rFonts w:ascii="Times New Roman" w:hAnsi="Times New Roman"/>
          <w:sz w:val="20"/>
          <w:szCs w:val="20"/>
        </w:rPr>
        <w:t xml:space="preserve">&amp; </w:t>
      </w:r>
      <w:proofErr w:type="spellStart"/>
      <w:r w:rsidRPr="005C7EDB">
        <w:rPr>
          <w:rFonts w:ascii="Times New Roman" w:hAnsi="Times New Roman"/>
          <w:sz w:val="20"/>
          <w:szCs w:val="20"/>
        </w:rPr>
        <w:t>Agran</w:t>
      </w:r>
      <w:proofErr w:type="spellEnd"/>
      <w:r w:rsidRPr="005C7EDB">
        <w:rPr>
          <w:rFonts w:ascii="Times New Roman" w:hAnsi="Times New Roman"/>
          <w:sz w:val="20"/>
          <w:szCs w:val="20"/>
        </w:rPr>
        <w:t>, 2001, p.</w:t>
      </w:r>
      <w:r w:rsidR="005437EE" w:rsidRPr="005C7EDB">
        <w:rPr>
          <w:rFonts w:ascii="Times New Roman" w:hAnsi="Times New Roman"/>
          <w:sz w:val="20"/>
          <w:szCs w:val="20"/>
        </w:rPr>
        <w:t xml:space="preserve"> </w:t>
      </w:r>
      <w:r w:rsidRPr="005C7EDB">
        <w:rPr>
          <w:rFonts w:ascii="Times New Roman" w:hAnsi="Times New Roman"/>
          <w:sz w:val="20"/>
          <w:szCs w:val="20"/>
        </w:rPr>
        <w:t>333)</w:t>
      </w:r>
      <w:r w:rsidRPr="005C7EDB">
        <w:rPr>
          <w:rFonts w:ascii="Times New Roman" w:hAnsi="Times New Roman"/>
          <w:i/>
          <w:sz w:val="20"/>
          <w:szCs w:val="20"/>
        </w:rPr>
        <w:t xml:space="preserve">. </w:t>
      </w:r>
      <w:r w:rsidRPr="00F06923">
        <w:rPr>
          <w:rFonts w:ascii="Times New Roman" w:hAnsi="Times New Roman"/>
          <w:sz w:val="20"/>
          <w:szCs w:val="20"/>
        </w:rPr>
        <w:t>The Office of Special Education and Rehabilitative Services (</w:t>
      </w:r>
      <w:r w:rsidR="00651037" w:rsidRPr="00F06923">
        <w:rPr>
          <w:rFonts w:ascii="Times New Roman" w:hAnsi="Times New Roman"/>
          <w:sz w:val="20"/>
          <w:szCs w:val="20"/>
        </w:rPr>
        <w:t>OSERS</w:t>
      </w:r>
      <w:r w:rsidR="00CD5741" w:rsidRPr="00F06923">
        <w:rPr>
          <w:rFonts w:ascii="Times New Roman" w:hAnsi="Times New Roman"/>
          <w:sz w:val="20"/>
          <w:szCs w:val="20"/>
        </w:rPr>
        <w:t>,</w:t>
      </w:r>
      <w:r w:rsidR="000B542E" w:rsidRPr="00F06923">
        <w:rPr>
          <w:rFonts w:ascii="Times New Roman" w:hAnsi="Times New Roman"/>
          <w:sz w:val="20"/>
          <w:szCs w:val="20"/>
        </w:rPr>
        <w:t xml:space="preserve"> </w:t>
      </w:r>
      <w:r w:rsidRPr="00F06923">
        <w:rPr>
          <w:rFonts w:ascii="Times New Roman" w:hAnsi="Times New Roman"/>
          <w:sz w:val="20"/>
          <w:szCs w:val="20"/>
        </w:rPr>
        <w:t xml:space="preserve">July 2001) reported that the IEP process is one of the most critical tools in ensuring that effective teaching, learning, and increased achievement occurs for all students with disabilities (Thompson, </w:t>
      </w:r>
      <w:proofErr w:type="spellStart"/>
      <w:r w:rsidRPr="00F06923">
        <w:rPr>
          <w:rFonts w:ascii="Times New Roman" w:hAnsi="Times New Roman"/>
          <w:sz w:val="20"/>
          <w:szCs w:val="20"/>
        </w:rPr>
        <w:t>Thurlow</w:t>
      </w:r>
      <w:proofErr w:type="spellEnd"/>
      <w:r w:rsidRPr="00F06923">
        <w:rPr>
          <w:rFonts w:ascii="Times New Roman" w:hAnsi="Times New Roman"/>
          <w:sz w:val="20"/>
          <w:szCs w:val="20"/>
        </w:rPr>
        <w:t>, Whetstone, 2001). Unfortunately, little research regarding the effect of IEP quality on student access to the general curriculum and student performance on standardized assessments is available</w:t>
      </w:r>
      <w:r w:rsidR="009A33AE" w:rsidRPr="00F06923">
        <w:rPr>
          <w:rFonts w:ascii="Times New Roman" w:hAnsi="Times New Roman"/>
          <w:sz w:val="20"/>
          <w:szCs w:val="20"/>
        </w:rPr>
        <w:t>.</w:t>
      </w:r>
      <w:r w:rsidRPr="00F06923">
        <w:rPr>
          <w:rFonts w:ascii="Times New Roman" w:hAnsi="Times New Roman"/>
          <w:sz w:val="20"/>
          <w:szCs w:val="20"/>
        </w:rPr>
        <w:t xml:space="preserve"> </w:t>
      </w:r>
    </w:p>
    <w:p w:rsidR="00E16B14" w:rsidRDefault="00E16B14" w:rsidP="00E16B14">
      <w:pPr>
        <w:spacing w:after="0" w:line="240" w:lineRule="auto"/>
        <w:contextualSpacing/>
        <w:jc w:val="both"/>
        <w:rPr>
          <w:rFonts w:ascii="Times New Roman" w:hAnsi="Times New Roman"/>
          <w:sz w:val="20"/>
          <w:szCs w:val="20"/>
        </w:rPr>
      </w:pPr>
    </w:p>
    <w:p w:rsidR="00E16B14" w:rsidRDefault="00BC6DBD" w:rsidP="00E16B14">
      <w:pPr>
        <w:spacing w:after="0" w:line="240" w:lineRule="auto"/>
        <w:contextualSpacing/>
        <w:jc w:val="both"/>
        <w:rPr>
          <w:rFonts w:ascii="Times New Roman" w:hAnsi="Times New Roman"/>
          <w:i/>
          <w:sz w:val="20"/>
          <w:szCs w:val="20"/>
        </w:rPr>
      </w:pPr>
      <w:r w:rsidRPr="00F06923">
        <w:rPr>
          <w:rFonts w:ascii="Times New Roman" w:hAnsi="Times New Roman"/>
          <w:sz w:val="20"/>
          <w:szCs w:val="20"/>
        </w:rPr>
        <w:t xml:space="preserve">The 2004 amendments to IDEA </w:t>
      </w:r>
      <w:r w:rsidR="00A52963" w:rsidRPr="00F06923">
        <w:rPr>
          <w:rFonts w:ascii="Times New Roman" w:hAnsi="Times New Roman"/>
          <w:sz w:val="20"/>
          <w:szCs w:val="20"/>
        </w:rPr>
        <w:t xml:space="preserve">were intended to transform IEPs </w:t>
      </w:r>
      <w:r w:rsidRPr="00F06923">
        <w:rPr>
          <w:rFonts w:ascii="Times New Roman" w:hAnsi="Times New Roman"/>
          <w:sz w:val="20"/>
          <w:szCs w:val="20"/>
        </w:rPr>
        <w:t xml:space="preserve">from </w:t>
      </w:r>
      <w:r w:rsidR="00BA06CC" w:rsidRPr="00F06923">
        <w:rPr>
          <w:rFonts w:ascii="Times New Roman" w:hAnsi="Times New Roman"/>
          <w:sz w:val="20"/>
          <w:szCs w:val="20"/>
        </w:rPr>
        <w:t xml:space="preserve">documents </w:t>
      </w:r>
      <w:r w:rsidRPr="00F06923">
        <w:rPr>
          <w:rFonts w:ascii="Times New Roman" w:hAnsi="Times New Roman"/>
          <w:sz w:val="20"/>
          <w:szCs w:val="20"/>
        </w:rPr>
        <w:t xml:space="preserve">that reflected procedural compliance monitoring and were developed as parallel or separate </w:t>
      </w:r>
      <w:r w:rsidR="00651037" w:rsidRPr="00F06923">
        <w:rPr>
          <w:rFonts w:ascii="Times New Roman" w:hAnsi="Times New Roman"/>
          <w:sz w:val="20"/>
          <w:szCs w:val="20"/>
        </w:rPr>
        <w:t>curricular frameworks</w:t>
      </w:r>
      <w:r w:rsidRPr="00F06923">
        <w:rPr>
          <w:rFonts w:ascii="Times New Roman" w:hAnsi="Times New Roman"/>
          <w:sz w:val="20"/>
          <w:szCs w:val="20"/>
        </w:rPr>
        <w:t xml:space="preserve"> for students with disabilities, to programs that increasingly reflect educational goals and services that are in place to aid students in their learning </w:t>
      </w:r>
      <w:r w:rsidR="00BA06CC" w:rsidRPr="00F06923">
        <w:rPr>
          <w:rFonts w:ascii="Times New Roman" w:hAnsi="Times New Roman"/>
          <w:sz w:val="20"/>
          <w:szCs w:val="20"/>
        </w:rPr>
        <w:t xml:space="preserve">of core academic content and skills </w:t>
      </w:r>
      <w:r w:rsidRPr="00F06923">
        <w:rPr>
          <w:rFonts w:ascii="Times New Roman" w:hAnsi="Times New Roman"/>
          <w:sz w:val="20"/>
          <w:szCs w:val="20"/>
        </w:rPr>
        <w:t>(Thompson et al., 2001). As Karvonen and Huynh (2007) assert</w:t>
      </w:r>
      <w:r w:rsidR="00EB05C4" w:rsidRPr="00F06923">
        <w:rPr>
          <w:rFonts w:ascii="Times New Roman" w:hAnsi="Times New Roman"/>
          <w:sz w:val="20"/>
          <w:szCs w:val="20"/>
        </w:rPr>
        <w:t>ed</w:t>
      </w:r>
      <w:r w:rsidRPr="00F06923">
        <w:rPr>
          <w:rFonts w:ascii="Times New Roman" w:hAnsi="Times New Roman"/>
          <w:sz w:val="20"/>
          <w:szCs w:val="20"/>
        </w:rPr>
        <w:t xml:space="preserve">, understanding the relationship between </w:t>
      </w:r>
      <w:r w:rsidR="004A1AE1" w:rsidRPr="00F06923">
        <w:rPr>
          <w:rFonts w:ascii="Times New Roman" w:hAnsi="Times New Roman"/>
          <w:sz w:val="20"/>
          <w:szCs w:val="20"/>
        </w:rPr>
        <w:t>IEPs</w:t>
      </w:r>
      <w:r w:rsidRPr="00F06923">
        <w:rPr>
          <w:rFonts w:ascii="Times New Roman" w:hAnsi="Times New Roman"/>
          <w:sz w:val="20"/>
          <w:szCs w:val="20"/>
        </w:rPr>
        <w:t xml:space="preserve"> and large-scale assessments for students with disabilities provides </w:t>
      </w:r>
      <w:r w:rsidR="002270B7" w:rsidRPr="00F06923">
        <w:rPr>
          <w:rFonts w:ascii="Times New Roman" w:hAnsi="Times New Roman"/>
          <w:sz w:val="20"/>
          <w:szCs w:val="20"/>
        </w:rPr>
        <w:t xml:space="preserve">evidence </w:t>
      </w:r>
      <w:r w:rsidRPr="00F06923">
        <w:rPr>
          <w:rFonts w:ascii="Times New Roman" w:hAnsi="Times New Roman"/>
          <w:sz w:val="20"/>
          <w:szCs w:val="20"/>
        </w:rPr>
        <w:t>about students’ opportunities to learn</w:t>
      </w:r>
      <w:r w:rsidR="00651037" w:rsidRPr="00F06923">
        <w:rPr>
          <w:rFonts w:ascii="Times New Roman" w:hAnsi="Times New Roman"/>
          <w:sz w:val="20"/>
          <w:szCs w:val="20"/>
        </w:rPr>
        <w:t xml:space="preserve"> the general curriculum</w:t>
      </w:r>
      <w:r w:rsidRPr="00F06923">
        <w:rPr>
          <w:rFonts w:ascii="Times New Roman" w:hAnsi="Times New Roman"/>
          <w:sz w:val="20"/>
          <w:szCs w:val="20"/>
        </w:rPr>
        <w:t xml:space="preserve"> and how such opportunities </w:t>
      </w:r>
      <w:r w:rsidR="00651037" w:rsidRPr="00F06923">
        <w:rPr>
          <w:rFonts w:ascii="Times New Roman" w:hAnsi="Times New Roman"/>
          <w:sz w:val="20"/>
          <w:szCs w:val="20"/>
        </w:rPr>
        <w:t>subsequently influence</w:t>
      </w:r>
      <w:r w:rsidRPr="00F06923">
        <w:rPr>
          <w:rFonts w:ascii="Times New Roman" w:hAnsi="Times New Roman"/>
          <w:sz w:val="20"/>
          <w:szCs w:val="20"/>
        </w:rPr>
        <w:t xml:space="preserve"> performance on standardized assessments</w:t>
      </w:r>
      <w:r w:rsidR="009F0570" w:rsidRPr="00F06923">
        <w:rPr>
          <w:rFonts w:ascii="Times New Roman" w:hAnsi="Times New Roman"/>
          <w:sz w:val="20"/>
          <w:szCs w:val="20"/>
        </w:rPr>
        <w:t>.</w:t>
      </w:r>
    </w:p>
    <w:p w:rsidR="00E16B14" w:rsidRDefault="00E16B14" w:rsidP="00E16B14">
      <w:pPr>
        <w:spacing w:after="0" w:line="240" w:lineRule="auto"/>
        <w:contextualSpacing/>
        <w:jc w:val="both"/>
        <w:rPr>
          <w:rFonts w:ascii="Times New Roman" w:hAnsi="Times New Roman"/>
          <w:i/>
          <w:sz w:val="20"/>
          <w:szCs w:val="20"/>
        </w:rPr>
      </w:pPr>
    </w:p>
    <w:p w:rsidR="00F77910" w:rsidRPr="00E16B14" w:rsidRDefault="000E5EA8" w:rsidP="00E16B14">
      <w:pPr>
        <w:spacing w:after="0" w:line="240" w:lineRule="auto"/>
        <w:contextualSpacing/>
        <w:jc w:val="both"/>
        <w:rPr>
          <w:rFonts w:ascii="Times New Roman" w:hAnsi="Times New Roman"/>
          <w:i/>
          <w:sz w:val="20"/>
          <w:szCs w:val="20"/>
        </w:rPr>
      </w:pPr>
      <w:r w:rsidRPr="00E16B14">
        <w:rPr>
          <w:rFonts w:ascii="Times New Roman" w:hAnsi="Times New Roman"/>
          <w:i/>
          <w:sz w:val="20"/>
          <w:szCs w:val="20"/>
        </w:rPr>
        <w:t>Purpose</w:t>
      </w:r>
    </w:p>
    <w:p w:rsidR="001C6249" w:rsidRPr="00F06923" w:rsidRDefault="00BC6DBD" w:rsidP="00E16B14">
      <w:pPr>
        <w:spacing w:after="0" w:line="240" w:lineRule="auto"/>
        <w:jc w:val="both"/>
        <w:rPr>
          <w:rFonts w:ascii="Times New Roman" w:hAnsi="Times New Roman"/>
          <w:sz w:val="20"/>
          <w:szCs w:val="20"/>
        </w:rPr>
      </w:pPr>
      <w:r w:rsidRPr="00F06923">
        <w:rPr>
          <w:rFonts w:ascii="Times New Roman" w:hAnsi="Times New Roman"/>
          <w:sz w:val="20"/>
          <w:szCs w:val="20"/>
        </w:rPr>
        <w:t xml:space="preserve">The purpose of the present study was to investigate the quality of IEPs and provision for curricular access for students </w:t>
      </w:r>
      <w:r w:rsidR="00F83A0B" w:rsidRPr="00F06923">
        <w:rPr>
          <w:rFonts w:ascii="Times New Roman" w:hAnsi="Times New Roman"/>
          <w:sz w:val="20"/>
          <w:szCs w:val="20"/>
        </w:rPr>
        <w:t>with disabilities</w:t>
      </w:r>
      <w:r w:rsidRPr="00F06923">
        <w:rPr>
          <w:rFonts w:ascii="Times New Roman" w:hAnsi="Times New Roman"/>
          <w:sz w:val="20"/>
          <w:szCs w:val="20"/>
        </w:rPr>
        <w:t xml:space="preserve">.  Specifically, this study </w:t>
      </w:r>
      <w:r w:rsidR="00BA06CC" w:rsidRPr="00F06923">
        <w:rPr>
          <w:rFonts w:ascii="Times New Roman" w:hAnsi="Times New Roman"/>
          <w:sz w:val="20"/>
          <w:szCs w:val="20"/>
        </w:rPr>
        <w:t xml:space="preserve">examined </w:t>
      </w:r>
      <w:r w:rsidRPr="00F06923">
        <w:rPr>
          <w:rFonts w:ascii="Times New Roman" w:hAnsi="Times New Roman"/>
          <w:sz w:val="20"/>
          <w:szCs w:val="20"/>
        </w:rPr>
        <w:t xml:space="preserve">the relationship between the </w:t>
      </w:r>
      <w:r w:rsidR="0008429B" w:rsidRPr="00F06923">
        <w:rPr>
          <w:rFonts w:ascii="Times New Roman" w:hAnsi="Times New Roman"/>
          <w:sz w:val="20"/>
          <w:szCs w:val="20"/>
        </w:rPr>
        <w:t>percentage</w:t>
      </w:r>
      <w:r w:rsidRPr="00F06923">
        <w:rPr>
          <w:rFonts w:ascii="Times New Roman" w:hAnsi="Times New Roman"/>
          <w:sz w:val="20"/>
          <w:szCs w:val="20"/>
        </w:rPr>
        <w:t xml:space="preserve"> and quality of standards-based IEP goals and teacher-reported curricular access for students with disabilities. </w:t>
      </w:r>
      <w:r w:rsidR="00651037" w:rsidRPr="00F06923">
        <w:rPr>
          <w:rFonts w:ascii="Times New Roman" w:hAnsi="Times New Roman"/>
          <w:sz w:val="20"/>
          <w:szCs w:val="20"/>
        </w:rPr>
        <w:t xml:space="preserve">In light of </w:t>
      </w:r>
      <w:r w:rsidRPr="00F06923">
        <w:rPr>
          <w:rFonts w:ascii="Times New Roman" w:hAnsi="Times New Roman"/>
          <w:sz w:val="20"/>
          <w:szCs w:val="20"/>
        </w:rPr>
        <w:t xml:space="preserve">the significant attention that has been given to curricular access and accountability for students with disabilities, it was hypothesized that IEP quality </w:t>
      </w:r>
      <w:r w:rsidR="00BA06CC" w:rsidRPr="00F06923">
        <w:rPr>
          <w:rFonts w:ascii="Times New Roman" w:hAnsi="Times New Roman"/>
          <w:sz w:val="20"/>
          <w:szCs w:val="20"/>
        </w:rPr>
        <w:t xml:space="preserve">would </w:t>
      </w:r>
      <w:r w:rsidR="004F4D04" w:rsidRPr="00F06923">
        <w:rPr>
          <w:rFonts w:ascii="Times New Roman" w:hAnsi="Times New Roman"/>
          <w:sz w:val="20"/>
          <w:szCs w:val="20"/>
        </w:rPr>
        <w:t>be associated with</w:t>
      </w:r>
      <w:r w:rsidRPr="00F06923">
        <w:rPr>
          <w:rFonts w:ascii="Times New Roman" w:hAnsi="Times New Roman"/>
          <w:sz w:val="20"/>
          <w:szCs w:val="20"/>
        </w:rPr>
        <w:t xml:space="preserve"> </w:t>
      </w:r>
      <w:r w:rsidR="0049545B" w:rsidRPr="00F06923">
        <w:rPr>
          <w:rFonts w:ascii="Times New Roman" w:hAnsi="Times New Roman"/>
          <w:sz w:val="20"/>
          <w:szCs w:val="20"/>
        </w:rPr>
        <w:t xml:space="preserve">(a) </w:t>
      </w:r>
      <w:r w:rsidR="004F4D04" w:rsidRPr="00F06923">
        <w:rPr>
          <w:rFonts w:ascii="Times New Roman" w:hAnsi="Times New Roman"/>
          <w:sz w:val="20"/>
          <w:szCs w:val="20"/>
        </w:rPr>
        <w:t xml:space="preserve">improved student performance on the state standardized test; (b) </w:t>
      </w:r>
      <w:r w:rsidRPr="00F06923">
        <w:rPr>
          <w:rFonts w:ascii="Times New Roman" w:hAnsi="Times New Roman"/>
          <w:sz w:val="20"/>
          <w:szCs w:val="20"/>
        </w:rPr>
        <w:t>the time that students with disabilities spend in general education classes</w:t>
      </w:r>
      <w:r w:rsidR="0049545B" w:rsidRPr="00F06923">
        <w:rPr>
          <w:rFonts w:ascii="Times New Roman" w:hAnsi="Times New Roman"/>
          <w:sz w:val="20"/>
          <w:szCs w:val="20"/>
        </w:rPr>
        <w:t>, and</w:t>
      </w:r>
      <w:r w:rsidRPr="00F06923">
        <w:rPr>
          <w:rFonts w:ascii="Times New Roman" w:hAnsi="Times New Roman"/>
          <w:sz w:val="20"/>
          <w:szCs w:val="20"/>
        </w:rPr>
        <w:t xml:space="preserve"> </w:t>
      </w:r>
      <w:r w:rsidR="0049545B" w:rsidRPr="00F06923">
        <w:rPr>
          <w:rFonts w:ascii="Times New Roman" w:hAnsi="Times New Roman"/>
          <w:sz w:val="20"/>
          <w:szCs w:val="20"/>
        </w:rPr>
        <w:t>(</w:t>
      </w:r>
      <w:r w:rsidR="004F4D04" w:rsidRPr="00F06923">
        <w:rPr>
          <w:rFonts w:ascii="Times New Roman" w:hAnsi="Times New Roman"/>
          <w:sz w:val="20"/>
          <w:szCs w:val="20"/>
        </w:rPr>
        <w:t>c</w:t>
      </w:r>
      <w:r w:rsidR="0049545B" w:rsidRPr="00F06923">
        <w:rPr>
          <w:rFonts w:ascii="Times New Roman" w:hAnsi="Times New Roman"/>
          <w:sz w:val="20"/>
          <w:szCs w:val="20"/>
        </w:rPr>
        <w:t xml:space="preserve">) </w:t>
      </w:r>
      <w:r w:rsidR="004F4D04" w:rsidRPr="00F06923">
        <w:rPr>
          <w:rFonts w:ascii="Times New Roman" w:hAnsi="Times New Roman"/>
          <w:sz w:val="20"/>
          <w:szCs w:val="20"/>
        </w:rPr>
        <w:t>access to the general curriculum as measured by scores on nationally recognized measure of the curricular experiences of students with disabilities.</w:t>
      </w:r>
    </w:p>
    <w:p w:rsidR="00FE3D30" w:rsidRDefault="00FE3D30" w:rsidP="00E16B14">
      <w:pPr>
        <w:spacing w:after="0" w:line="240" w:lineRule="auto"/>
        <w:jc w:val="both"/>
        <w:rPr>
          <w:rFonts w:ascii="Times New Roman" w:hAnsi="Times New Roman"/>
          <w:b/>
          <w:sz w:val="20"/>
          <w:szCs w:val="20"/>
        </w:rPr>
      </w:pPr>
    </w:p>
    <w:p w:rsidR="001C6249" w:rsidRPr="00F06923" w:rsidRDefault="001C6249" w:rsidP="00E16B14">
      <w:pPr>
        <w:spacing w:after="0" w:line="240" w:lineRule="auto"/>
        <w:jc w:val="both"/>
        <w:rPr>
          <w:rFonts w:ascii="Times New Roman" w:hAnsi="Times New Roman"/>
          <w:b/>
          <w:sz w:val="20"/>
          <w:szCs w:val="20"/>
        </w:rPr>
      </w:pPr>
      <w:r w:rsidRPr="00F06923">
        <w:rPr>
          <w:rFonts w:ascii="Times New Roman" w:hAnsi="Times New Roman"/>
          <w:b/>
          <w:sz w:val="20"/>
          <w:szCs w:val="20"/>
        </w:rPr>
        <w:t>Method</w:t>
      </w:r>
    </w:p>
    <w:p w:rsidR="00580C73" w:rsidRPr="00F06923" w:rsidRDefault="00580C73" w:rsidP="00E16B14">
      <w:pPr>
        <w:spacing w:after="0" w:line="240" w:lineRule="auto"/>
        <w:jc w:val="both"/>
        <w:rPr>
          <w:rFonts w:ascii="Times New Roman" w:hAnsi="Times New Roman"/>
          <w:b/>
          <w:sz w:val="20"/>
          <w:szCs w:val="20"/>
        </w:rPr>
      </w:pPr>
      <w:r w:rsidRPr="00F06923">
        <w:rPr>
          <w:rFonts w:ascii="Times New Roman" w:hAnsi="Times New Roman"/>
          <w:sz w:val="20"/>
          <w:szCs w:val="20"/>
        </w:rPr>
        <w:lastRenderedPageBreak/>
        <w:t>As part of a larger study to validate</w:t>
      </w:r>
      <w:r w:rsidR="00B124E5" w:rsidRPr="00F06923">
        <w:rPr>
          <w:rFonts w:ascii="Times New Roman" w:hAnsi="Times New Roman"/>
          <w:sz w:val="20"/>
          <w:szCs w:val="20"/>
        </w:rPr>
        <w:t xml:space="preserve"> </w:t>
      </w:r>
      <w:r w:rsidRPr="00F06923">
        <w:rPr>
          <w:rFonts w:ascii="Times New Roman" w:hAnsi="Times New Roman"/>
          <w:sz w:val="20"/>
          <w:szCs w:val="20"/>
        </w:rPr>
        <w:t>modified test items for</w:t>
      </w:r>
      <w:r w:rsidR="00B124E5" w:rsidRPr="00F06923">
        <w:rPr>
          <w:rFonts w:ascii="Times New Roman" w:hAnsi="Times New Roman"/>
          <w:sz w:val="20"/>
          <w:szCs w:val="20"/>
        </w:rPr>
        <w:t xml:space="preserve"> possible</w:t>
      </w:r>
      <w:r w:rsidRPr="00F06923">
        <w:rPr>
          <w:rFonts w:ascii="Times New Roman" w:hAnsi="Times New Roman"/>
          <w:sz w:val="20"/>
          <w:szCs w:val="20"/>
        </w:rPr>
        <w:t xml:space="preserve"> inclusion on an alternate assessment based on modified achievement standards (AA-MAS), teachers </w:t>
      </w:r>
      <w:r w:rsidR="001C6249" w:rsidRPr="00F06923">
        <w:rPr>
          <w:rFonts w:ascii="Times New Roman" w:hAnsi="Times New Roman"/>
          <w:sz w:val="20"/>
          <w:szCs w:val="20"/>
        </w:rPr>
        <w:t xml:space="preserve">from across the state of Indiana were asked to submit data for one of their students. Students identified for data collection (a) had an identified disability and (b) had achieved minimum proficiency on the Indiana Statewide Testing for Educational Progress (ISTEP) during the fall 2008 admission. </w:t>
      </w:r>
      <w:r w:rsidR="00430394" w:rsidRPr="00F06923">
        <w:rPr>
          <w:rFonts w:ascii="Times New Roman" w:hAnsi="Times New Roman"/>
          <w:sz w:val="20"/>
          <w:szCs w:val="20"/>
        </w:rPr>
        <w:t xml:space="preserve"> </w:t>
      </w:r>
      <w:r w:rsidRPr="00F06923">
        <w:rPr>
          <w:rFonts w:ascii="Times New Roman" w:hAnsi="Times New Roman"/>
          <w:sz w:val="20"/>
          <w:szCs w:val="20"/>
        </w:rPr>
        <w:t xml:space="preserve"> Under the</w:t>
      </w:r>
      <w:r w:rsidR="00B124E5" w:rsidRPr="00F06923">
        <w:rPr>
          <w:rFonts w:ascii="Times New Roman" w:hAnsi="Times New Roman"/>
          <w:sz w:val="20"/>
          <w:szCs w:val="20"/>
        </w:rPr>
        <w:t xml:space="preserve"> proposed</w:t>
      </w:r>
      <w:r w:rsidRPr="00F06923">
        <w:rPr>
          <w:rFonts w:ascii="Times New Roman" w:hAnsi="Times New Roman"/>
          <w:sz w:val="20"/>
          <w:szCs w:val="20"/>
        </w:rPr>
        <w:t xml:space="preserve"> federal guidelines, these students would have been e</w:t>
      </w:r>
      <w:r w:rsidR="00B124E5" w:rsidRPr="00F06923">
        <w:rPr>
          <w:rFonts w:ascii="Times New Roman" w:hAnsi="Times New Roman"/>
          <w:sz w:val="20"/>
          <w:szCs w:val="20"/>
        </w:rPr>
        <w:t>ligible for participating in AA-MAS</w:t>
      </w:r>
      <w:r w:rsidRPr="00F06923">
        <w:rPr>
          <w:rFonts w:ascii="Times New Roman" w:hAnsi="Times New Roman"/>
          <w:sz w:val="20"/>
          <w:szCs w:val="20"/>
        </w:rPr>
        <w:t>.</w:t>
      </w:r>
      <w:r w:rsidR="009A33AE" w:rsidRPr="00F06923">
        <w:rPr>
          <w:rFonts w:ascii="Times New Roman" w:hAnsi="Times New Roman"/>
          <w:sz w:val="20"/>
          <w:szCs w:val="20"/>
        </w:rPr>
        <w:t xml:space="preserve"> </w:t>
      </w:r>
      <w:r w:rsidR="001C6249" w:rsidRPr="00F06923">
        <w:rPr>
          <w:rFonts w:ascii="Times New Roman" w:hAnsi="Times New Roman"/>
          <w:sz w:val="20"/>
          <w:szCs w:val="20"/>
        </w:rPr>
        <w:t>Teachers of participating students</w:t>
      </w:r>
      <w:r w:rsidR="009A33AE" w:rsidRPr="00F06923">
        <w:rPr>
          <w:rFonts w:ascii="Times New Roman" w:hAnsi="Times New Roman"/>
          <w:sz w:val="20"/>
          <w:szCs w:val="20"/>
        </w:rPr>
        <w:t xml:space="preserve"> also</w:t>
      </w:r>
      <w:r w:rsidR="001C6249" w:rsidRPr="00F06923">
        <w:rPr>
          <w:rFonts w:ascii="Times New Roman" w:hAnsi="Times New Roman"/>
          <w:sz w:val="20"/>
          <w:szCs w:val="20"/>
        </w:rPr>
        <w:t xml:space="preserve"> were asked complete the Curriculum Indicators Survey (CIS</w:t>
      </w:r>
      <w:r w:rsidR="007864C4" w:rsidRPr="00F06923">
        <w:rPr>
          <w:rFonts w:ascii="Times New Roman" w:hAnsi="Times New Roman"/>
          <w:sz w:val="20"/>
          <w:szCs w:val="20"/>
        </w:rPr>
        <w:t>), which</w:t>
      </w:r>
      <w:r w:rsidR="001C6249" w:rsidRPr="00F06923">
        <w:rPr>
          <w:rFonts w:ascii="Times New Roman" w:hAnsi="Times New Roman"/>
          <w:sz w:val="20"/>
          <w:szCs w:val="20"/>
        </w:rPr>
        <w:t xml:space="preserve"> provided information about the student curriculum and instructional experiences. In addition to the completed surveys, teachers were also asked to submit a copy of the student’s most recent IEP. All extant student data reviewed by the research team was de-identified by the Indiana State Department of Education. </w:t>
      </w:r>
    </w:p>
    <w:p w:rsidR="00C71B59" w:rsidRDefault="00C71B59" w:rsidP="00E16B14">
      <w:pPr>
        <w:spacing w:after="0" w:line="240" w:lineRule="auto"/>
        <w:contextualSpacing/>
        <w:jc w:val="both"/>
        <w:rPr>
          <w:rFonts w:ascii="Times New Roman" w:hAnsi="Times New Roman"/>
          <w:b/>
          <w:sz w:val="20"/>
          <w:szCs w:val="20"/>
        </w:rPr>
      </w:pPr>
    </w:p>
    <w:p w:rsidR="00D212F1" w:rsidRPr="00C71B59" w:rsidRDefault="00D212F1" w:rsidP="00E16B14">
      <w:pPr>
        <w:spacing w:after="0" w:line="240" w:lineRule="auto"/>
        <w:contextualSpacing/>
        <w:jc w:val="both"/>
        <w:rPr>
          <w:rFonts w:ascii="Times New Roman" w:hAnsi="Times New Roman"/>
          <w:i/>
          <w:sz w:val="20"/>
          <w:szCs w:val="20"/>
        </w:rPr>
      </w:pPr>
      <w:r w:rsidRPr="00C71B59">
        <w:rPr>
          <w:rFonts w:ascii="Times New Roman" w:hAnsi="Times New Roman"/>
          <w:i/>
          <w:sz w:val="20"/>
          <w:szCs w:val="20"/>
        </w:rPr>
        <w:t>Participants</w:t>
      </w:r>
    </w:p>
    <w:p w:rsidR="00D212F1" w:rsidRPr="00F06923" w:rsidRDefault="00B124E5"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Teachers (</w:t>
      </w:r>
      <w:r w:rsidRPr="00F06923">
        <w:rPr>
          <w:rFonts w:ascii="Times New Roman" w:hAnsi="Times New Roman"/>
          <w:i/>
          <w:sz w:val="20"/>
          <w:szCs w:val="20"/>
        </w:rPr>
        <w:t>n</w:t>
      </w:r>
      <w:r w:rsidRPr="00F06923">
        <w:rPr>
          <w:rFonts w:ascii="Times New Roman" w:hAnsi="Times New Roman"/>
          <w:sz w:val="20"/>
          <w:szCs w:val="20"/>
        </w:rPr>
        <w:t xml:space="preserve"> = 130)</w:t>
      </w:r>
      <w:r w:rsidR="00D212F1" w:rsidRPr="00F06923">
        <w:rPr>
          <w:rFonts w:ascii="Times New Roman" w:hAnsi="Times New Roman"/>
          <w:sz w:val="20"/>
          <w:szCs w:val="20"/>
        </w:rPr>
        <w:t xml:space="preserve"> from the state of Indiana were asked to submit data regarding one of their students</w:t>
      </w:r>
      <w:r w:rsidRPr="00F06923">
        <w:rPr>
          <w:rFonts w:ascii="Times New Roman" w:hAnsi="Times New Roman"/>
          <w:sz w:val="20"/>
          <w:szCs w:val="20"/>
        </w:rPr>
        <w:t xml:space="preserve">. Purposive sampling was used to ensure that participating teachers represented districts from all regions of the state and urban, suburban, and rural communities. </w:t>
      </w:r>
      <w:r w:rsidR="00D212F1" w:rsidRPr="00F06923">
        <w:rPr>
          <w:rFonts w:ascii="Times New Roman" w:hAnsi="Times New Roman"/>
          <w:sz w:val="20"/>
          <w:szCs w:val="20"/>
        </w:rPr>
        <w:t xml:space="preserve">The majority of the teachers in the sample were White (94.6%) and female (86%). Additionally, 93.0% of participants had special education teaching credentials and 85.4% obtained a master’s degree or higher. </w:t>
      </w:r>
    </w:p>
    <w:p w:rsidR="00C71B59" w:rsidRDefault="00C71B59" w:rsidP="00C71B59">
      <w:pPr>
        <w:spacing w:after="0" w:line="240" w:lineRule="auto"/>
        <w:jc w:val="both"/>
        <w:rPr>
          <w:rFonts w:ascii="Times New Roman" w:hAnsi="Times New Roman"/>
          <w:sz w:val="20"/>
          <w:szCs w:val="20"/>
        </w:rPr>
      </w:pPr>
    </w:p>
    <w:p w:rsidR="00580C73" w:rsidRPr="00F06923" w:rsidRDefault="00D212F1" w:rsidP="00C71B59">
      <w:pPr>
        <w:spacing w:after="0" w:line="240" w:lineRule="auto"/>
        <w:jc w:val="both"/>
        <w:rPr>
          <w:rFonts w:ascii="Times New Roman" w:hAnsi="Times New Roman"/>
          <w:sz w:val="20"/>
          <w:szCs w:val="20"/>
        </w:rPr>
      </w:pPr>
      <w:r w:rsidRPr="00F06923">
        <w:rPr>
          <w:rFonts w:ascii="Times New Roman" w:hAnsi="Times New Roman"/>
          <w:sz w:val="20"/>
          <w:szCs w:val="20"/>
        </w:rPr>
        <w:t>The majority of the students in this study were White (86.2%) and male (66.9%), which approximate</w:t>
      </w:r>
      <w:r w:rsidR="00B124E5" w:rsidRPr="00F06923">
        <w:rPr>
          <w:rFonts w:ascii="Times New Roman" w:hAnsi="Times New Roman"/>
          <w:sz w:val="20"/>
          <w:szCs w:val="20"/>
        </w:rPr>
        <w:t>d</w:t>
      </w:r>
      <w:r w:rsidRPr="00F06923">
        <w:rPr>
          <w:rFonts w:ascii="Times New Roman" w:hAnsi="Times New Roman"/>
          <w:sz w:val="20"/>
          <w:szCs w:val="20"/>
        </w:rPr>
        <w:t xml:space="preserve"> the gender imbalance in the state’s Special Education placements. The most frequent disability categories represented in the sample were Learning Disabilities (53.8%), Speech/Language Impairments (24.6%), Intellectual/Cognitive Disabilities (19.2%), and Autism Spectrum Disorder (10.8%). These numbers also appear to approximate the representation of disability categories among </w:t>
      </w:r>
      <w:r w:rsidR="00B124E5" w:rsidRPr="00F06923">
        <w:rPr>
          <w:rFonts w:ascii="Times New Roman" w:hAnsi="Times New Roman"/>
          <w:sz w:val="20"/>
          <w:szCs w:val="20"/>
        </w:rPr>
        <w:t xml:space="preserve">Indiana </w:t>
      </w:r>
      <w:r w:rsidRPr="00F06923">
        <w:rPr>
          <w:rFonts w:ascii="Times New Roman" w:hAnsi="Times New Roman"/>
          <w:sz w:val="20"/>
          <w:szCs w:val="20"/>
        </w:rPr>
        <w:t xml:space="preserve">students </w:t>
      </w:r>
      <w:r w:rsidR="00B124E5" w:rsidRPr="00F06923">
        <w:rPr>
          <w:rFonts w:ascii="Times New Roman" w:hAnsi="Times New Roman"/>
          <w:sz w:val="20"/>
          <w:szCs w:val="20"/>
        </w:rPr>
        <w:t>in</w:t>
      </w:r>
      <w:r w:rsidRPr="00F06923">
        <w:rPr>
          <w:rFonts w:ascii="Times New Roman" w:hAnsi="Times New Roman"/>
          <w:sz w:val="20"/>
          <w:szCs w:val="20"/>
        </w:rPr>
        <w:t xml:space="preserve"> </w:t>
      </w:r>
      <w:r w:rsidR="00B124E5" w:rsidRPr="00F06923">
        <w:rPr>
          <w:rFonts w:ascii="Times New Roman" w:hAnsi="Times New Roman"/>
          <w:sz w:val="20"/>
          <w:szCs w:val="20"/>
        </w:rPr>
        <w:t>special education</w:t>
      </w:r>
      <w:r w:rsidRPr="00F06923">
        <w:rPr>
          <w:rFonts w:ascii="Times New Roman" w:hAnsi="Times New Roman"/>
          <w:sz w:val="20"/>
          <w:szCs w:val="20"/>
        </w:rPr>
        <w:t>, with the exception of students with specific learning disabilities</w:t>
      </w:r>
      <w:r w:rsidR="00B124E5" w:rsidRPr="00F06923">
        <w:rPr>
          <w:rFonts w:ascii="Times New Roman" w:hAnsi="Times New Roman"/>
          <w:sz w:val="20"/>
          <w:szCs w:val="20"/>
        </w:rPr>
        <w:t xml:space="preserve"> who appear to be</w:t>
      </w:r>
      <w:r w:rsidRPr="00F06923">
        <w:rPr>
          <w:rFonts w:ascii="Times New Roman" w:hAnsi="Times New Roman"/>
          <w:sz w:val="20"/>
          <w:szCs w:val="20"/>
        </w:rPr>
        <w:t xml:space="preserve"> </w:t>
      </w:r>
      <w:r w:rsidR="00580C73" w:rsidRPr="00F06923">
        <w:rPr>
          <w:rFonts w:ascii="Times New Roman" w:hAnsi="Times New Roman"/>
          <w:sz w:val="20"/>
          <w:szCs w:val="20"/>
        </w:rPr>
        <w:t>over-</w:t>
      </w:r>
      <w:r w:rsidRPr="00F06923">
        <w:rPr>
          <w:rFonts w:ascii="Times New Roman" w:hAnsi="Times New Roman"/>
          <w:sz w:val="20"/>
          <w:szCs w:val="20"/>
        </w:rPr>
        <w:t>represented in this sample</w:t>
      </w:r>
      <w:r w:rsidR="00580C73" w:rsidRPr="00F06923">
        <w:rPr>
          <w:rFonts w:ascii="Times New Roman" w:hAnsi="Times New Roman"/>
          <w:sz w:val="20"/>
          <w:szCs w:val="20"/>
        </w:rPr>
        <w:t xml:space="preserve"> compared to prevalence rates for the special education population</w:t>
      </w:r>
      <w:r w:rsidRPr="00F06923">
        <w:rPr>
          <w:rFonts w:ascii="Times New Roman" w:hAnsi="Times New Roman"/>
          <w:sz w:val="20"/>
          <w:szCs w:val="20"/>
        </w:rPr>
        <w:t>.</w:t>
      </w:r>
      <w:r w:rsidR="00580C73" w:rsidRPr="00F06923">
        <w:rPr>
          <w:rFonts w:ascii="Times New Roman" w:hAnsi="Times New Roman"/>
          <w:sz w:val="20"/>
          <w:szCs w:val="20"/>
        </w:rPr>
        <w:t xml:space="preserve">  The over-representation</w:t>
      </w:r>
      <w:r w:rsidR="00B124E5" w:rsidRPr="00F06923">
        <w:rPr>
          <w:rFonts w:ascii="Times New Roman" w:hAnsi="Times New Roman"/>
          <w:sz w:val="20"/>
          <w:szCs w:val="20"/>
        </w:rPr>
        <w:t xml:space="preserve"> of students with LD</w:t>
      </w:r>
      <w:r w:rsidR="00580C73" w:rsidRPr="00F06923">
        <w:rPr>
          <w:rFonts w:ascii="Times New Roman" w:hAnsi="Times New Roman"/>
          <w:sz w:val="20"/>
          <w:szCs w:val="20"/>
        </w:rPr>
        <w:t xml:space="preserve"> </w:t>
      </w:r>
      <w:r w:rsidR="00B124E5" w:rsidRPr="00F06923">
        <w:rPr>
          <w:rFonts w:ascii="Times New Roman" w:hAnsi="Times New Roman"/>
          <w:sz w:val="20"/>
          <w:szCs w:val="20"/>
        </w:rPr>
        <w:t>in</w:t>
      </w:r>
      <w:r w:rsidR="00580C73" w:rsidRPr="00F06923">
        <w:rPr>
          <w:rFonts w:ascii="Times New Roman" w:hAnsi="Times New Roman"/>
          <w:sz w:val="20"/>
          <w:szCs w:val="20"/>
        </w:rPr>
        <w:t xml:space="preserve"> the sample </w:t>
      </w:r>
      <w:r w:rsidR="00B124E5" w:rsidRPr="00F06923">
        <w:rPr>
          <w:rFonts w:ascii="Times New Roman" w:hAnsi="Times New Roman"/>
          <w:sz w:val="20"/>
          <w:szCs w:val="20"/>
        </w:rPr>
        <w:t>was, however,</w:t>
      </w:r>
      <w:r w:rsidR="00580C73" w:rsidRPr="00F06923">
        <w:rPr>
          <w:rFonts w:ascii="Times New Roman" w:hAnsi="Times New Roman"/>
          <w:sz w:val="20"/>
          <w:szCs w:val="20"/>
        </w:rPr>
        <w:t xml:space="preserve"> reflective of the group of students expected to qualify for the proposed AA-MAS.</w:t>
      </w:r>
    </w:p>
    <w:p w:rsidR="00C71B59" w:rsidRDefault="00C71B59" w:rsidP="00E16B14">
      <w:pPr>
        <w:spacing w:after="0" w:line="240" w:lineRule="auto"/>
        <w:contextualSpacing/>
        <w:jc w:val="both"/>
        <w:rPr>
          <w:rFonts w:ascii="Times New Roman" w:hAnsi="Times New Roman"/>
          <w:b/>
          <w:sz w:val="20"/>
          <w:szCs w:val="20"/>
        </w:rPr>
      </w:pPr>
    </w:p>
    <w:p w:rsidR="001C6249" w:rsidRPr="00C71B59" w:rsidRDefault="001C6249" w:rsidP="00E16B14">
      <w:pPr>
        <w:spacing w:after="0" w:line="240" w:lineRule="auto"/>
        <w:contextualSpacing/>
        <w:jc w:val="both"/>
        <w:rPr>
          <w:rFonts w:ascii="Times New Roman" w:hAnsi="Times New Roman"/>
          <w:i/>
          <w:sz w:val="20"/>
          <w:szCs w:val="20"/>
        </w:rPr>
      </w:pPr>
      <w:r w:rsidRPr="00C71B59">
        <w:rPr>
          <w:rFonts w:ascii="Times New Roman" w:hAnsi="Times New Roman"/>
          <w:i/>
          <w:sz w:val="20"/>
          <w:szCs w:val="20"/>
        </w:rPr>
        <w:t>Measures</w:t>
      </w:r>
    </w:p>
    <w:p w:rsidR="001C6249" w:rsidRPr="005C7EDB" w:rsidRDefault="006F1E04" w:rsidP="00C71B59">
      <w:pPr>
        <w:spacing w:after="0" w:line="240" w:lineRule="auto"/>
        <w:contextualSpacing/>
        <w:jc w:val="both"/>
        <w:rPr>
          <w:rFonts w:ascii="Times New Roman" w:hAnsi="Times New Roman"/>
          <w:i/>
          <w:sz w:val="20"/>
          <w:szCs w:val="20"/>
        </w:rPr>
      </w:pPr>
      <w:proofErr w:type="gramStart"/>
      <w:r w:rsidRPr="00C71B59">
        <w:rPr>
          <w:rFonts w:ascii="Times New Roman" w:hAnsi="Times New Roman"/>
          <w:i/>
          <w:sz w:val="20"/>
          <w:szCs w:val="20"/>
        </w:rPr>
        <w:t>Curriculum Indicators S</w:t>
      </w:r>
      <w:r w:rsidR="001C6249" w:rsidRPr="00C71B59">
        <w:rPr>
          <w:rFonts w:ascii="Times New Roman" w:hAnsi="Times New Roman"/>
          <w:i/>
          <w:sz w:val="20"/>
          <w:szCs w:val="20"/>
        </w:rPr>
        <w:t>urvey</w:t>
      </w:r>
      <w:r w:rsidR="00D212F1" w:rsidRPr="00C71B59">
        <w:rPr>
          <w:rFonts w:ascii="Times New Roman" w:hAnsi="Times New Roman"/>
          <w:i/>
          <w:sz w:val="20"/>
          <w:szCs w:val="20"/>
        </w:rPr>
        <w:t>.</w:t>
      </w:r>
      <w:proofErr w:type="gramEnd"/>
      <w:r w:rsidR="001C6249" w:rsidRPr="00F06923">
        <w:rPr>
          <w:rFonts w:ascii="Times New Roman" w:hAnsi="Times New Roman"/>
          <w:sz w:val="20"/>
          <w:szCs w:val="20"/>
        </w:rPr>
        <w:t xml:space="preserve"> The Curriculum Indicators </w:t>
      </w:r>
      <w:r w:rsidR="00B124E5" w:rsidRPr="00F06923">
        <w:rPr>
          <w:rFonts w:ascii="Times New Roman" w:hAnsi="Times New Roman"/>
          <w:sz w:val="20"/>
          <w:szCs w:val="20"/>
        </w:rPr>
        <w:t>Survey (CIS) was developed by</w:t>
      </w:r>
      <w:r w:rsidR="00E20516" w:rsidRPr="00F06923">
        <w:rPr>
          <w:rFonts w:ascii="Times New Roman" w:hAnsi="Times New Roman"/>
          <w:sz w:val="20"/>
          <w:szCs w:val="20"/>
        </w:rPr>
        <w:t xml:space="preserve"> </w:t>
      </w:r>
      <w:proofErr w:type="spellStart"/>
      <w:r w:rsidR="00E20516" w:rsidRPr="00F06923">
        <w:rPr>
          <w:rFonts w:ascii="Times New Roman" w:hAnsi="Times New Roman"/>
          <w:sz w:val="20"/>
          <w:szCs w:val="20"/>
        </w:rPr>
        <w:t>Karvoven</w:t>
      </w:r>
      <w:proofErr w:type="spellEnd"/>
      <w:r w:rsidR="00E20516" w:rsidRPr="00F06923">
        <w:rPr>
          <w:rFonts w:ascii="Times New Roman" w:hAnsi="Times New Roman"/>
          <w:sz w:val="20"/>
          <w:szCs w:val="20"/>
        </w:rPr>
        <w:t xml:space="preserve">, </w:t>
      </w:r>
      <w:proofErr w:type="spellStart"/>
      <w:r w:rsidR="00E20516" w:rsidRPr="00F06923">
        <w:rPr>
          <w:rFonts w:ascii="Times New Roman" w:hAnsi="Times New Roman"/>
          <w:sz w:val="20"/>
          <w:szCs w:val="20"/>
        </w:rPr>
        <w:t>Wakeman</w:t>
      </w:r>
      <w:proofErr w:type="spellEnd"/>
      <w:r w:rsidR="00E20516" w:rsidRPr="00F06923">
        <w:rPr>
          <w:rFonts w:ascii="Times New Roman" w:hAnsi="Times New Roman"/>
          <w:sz w:val="20"/>
          <w:szCs w:val="20"/>
        </w:rPr>
        <w:t>, Flowers, and Browder, (2006</w:t>
      </w:r>
      <w:r w:rsidR="00B124E5" w:rsidRPr="00F06923">
        <w:rPr>
          <w:rFonts w:ascii="Times New Roman" w:hAnsi="Times New Roman"/>
          <w:sz w:val="20"/>
          <w:szCs w:val="20"/>
        </w:rPr>
        <w:t>) as</w:t>
      </w:r>
      <w:r w:rsidR="001C6249" w:rsidRPr="00F06923">
        <w:rPr>
          <w:rFonts w:ascii="Times New Roman" w:hAnsi="Times New Roman"/>
          <w:sz w:val="20"/>
          <w:szCs w:val="20"/>
        </w:rPr>
        <w:t xml:space="preserve"> a teacher-report measure</w:t>
      </w:r>
      <w:r w:rsidR="00B124E5" w:rsidRPr="00F06923">
        <w:rPr>
          <w:rFonts w:ascii="Times New Roman" w:hAnsi="Times New Roman"/>
          <w:sz w:val="20"/>
          <w:szCs w:val="20"/>
        </w:rPr>
        <w:t xml:space="preserve"> of the curricular access. The CIS</w:t>
      </w:r>
      <w:r w:rsidR="001C6249" w:rsidRPr="00F06923">
        <w:rPr>
          <w:rFonts w:ascii="Times New Roman" w:hAnsi="Times New Roman"/>
          <w:sz w:val="20"/>
          <w:szCs w:val="20"/>
        </w:rPr>
        <w:t xml:space="preserve"> </w:t>
      </w:r>
      <w:r w:rsidR="00587242" w:rsidRPr="00F06923">
        <w:rPr>
          <w:rFonts w:ascii="Times New Roman" w:hAnsi="Times New Roman"/>
          <w:sz w:val="20"/>
          <w:szCs w:val="20"/>
        </w:rPr>
        <w:t>asked teachers to describe their</w:t>
      </w:r>
      <w:r w:rsidR="00E20516" w:rsidRPr="00F06923">
        <w:rPr>
          <w:rFonts w:ascii="Times New Roman" w:hAnsi="Times New Roman"/>
          <w:sz w:val="20"/>
          <w:szCs w:val="20"/>
        </w:rPr>
        <w:t xml:space="preserve"> expectations </w:t>
      </w:r>
      <w:r w:rsidR="00587242" w:rsidRPr="00F06923">
        <w:rPr>
          <w:rFonts w:ascii="Times New Roman" w:hAnsi="Times New Roman"/>
          <w:sz w:val="20"/>
          <w:szCs w:val="20"/>
        </w:rPr>
        <w:t>for</w:t>
      </w:r>
      <w:r w:rsidR="00E20516" w:rsidRPr="00F06923">
        <w:rPr>
          <w:rFonts w:ascii="Times New Roman" w:hAnsi="Times New Roman"/>
          <w:sz w:val="20"/>
          <w:szCs w:val="20"/>
        </w:rPr>
        <w:t xml:space="preserve"> student performance and their perceptions of student skill levels as well as the extent to whic</w:t>
      </w:r>
      <w:r w:rsidR="00587242" w:rsidRPr="00F06923">
        <w:rPr>
          <w:rFonts w:ascii="Times New Roman" w:hAnsi="Times New Roman"/>
          <w:sz w:val="20"/>
          <w:szCs w:val="20"/>
        </w:rPr>
        <w:t>h students are engaged in grade-</w:t>
      </w:r>
      <w:r w:rsidR="00E20516" w:rsidRPr="00F06923">
        <w:rPr>
          <w:rFonts w:ascii="Times New Roman" w:hAnsi="Times New Roman"/>
          <w:sz w:val="20"/>
          <w:szCs w:val="20"/>
        </w:rPr>
        <w:t>level instruction.</w:t>
      </w:r>
      <w:r w:rsidR="001C6249" w:rsidRPr="00F06923">
        <w:rPr>
          <w:rFonts w:ascii="Times New Roman" w:hAnsi="Times New Roman"/>
          <w:sz w:val="20"/>
          <w:szCs w:val="20"/>
        </w:rPr>
        <w:t xml:space="preserve"> The questionnaire includes two sections</w:t>
      </w:r>
      <w:r w:rsidR="00587242" w:rsidRPr="00F06923">
        <w:rPr>
          <w:rFonts w:ascii="Times New Roman" w:hAnsi="Times New Roman"/>
          <w:sz w:val="20"/>
          <w:szCs w:val="20"/>
        </w:rPr>
        <w:t xml:space="preserve"> intended</w:t>
      </w:r>
      <w:r w:rsidR="001C6249" w:rsidRPr="00F06923">
        <w:rPr>
          <w:rFonts w:ascii="Times New Roman" w:hAnsi="Times New Roman"/>
          <w:sz w:val="20"/>
          <w:szCs w:val="20"/>
        </w:rPr>
        <w:t xml:space="preserve"> to measure the implemented curriculum in grades </w:t>
      </w:r>
      <w:r w:rsidR="00254DCC" w:rsidRPr="00F06923">
        <w:rPr>
          <w:rFonts w:ascii="Times New Roman" w:hAnsi="Times New Roman"/>
          <w:sz w:val="20"/>
          <w:szCs w:val="20"/>
        </w:rPr>
        <w:t>K</w:t>
      </w:r>
      <w:r w:rsidR="001C6249" w:rsidRPr="00F06923">
        <w:rPr>
          <w:rFonts w:ascii="Times New Roman" w:hAnsi="Times New Roman"/>
          <w:sz w:val="20"/>
          <w:szCs w:val="20"/>
        </w:rPr>
        <w:t>-12. The</w:t>
      </w:r>
      <w:r w:rsidR="00587242" w:rsidRPr="00F06923">
        <w:rPr>
          <w:rFonts w:ascii="Times New Roman" w:hAnsi="Times New Roman"/>
          <w:sz w:val="20"/>
          <w:szCs w:val="20"/>
        </w:rPr>
        <w:t xml:space="preserve"> first section of the survey includes </w:t>
      </w:r>
      <w:r w:rsidR="001C6249" w:rsidRPr="00F06923">
        <w:rPr>
          <w:rFonts w:ascii="Times New Roman" w:hAnsi="Times New Roman"/>
          <w:sz w:val="20"/>
          <w:szCs w:val="20"/>
        </w:rPr>
        <w:t>information about the teacher’s background,</w:t>
      </w:r>
      <w:r w:rsidR="00254DCC" w:rsidRPr="00F06923">
        <w:rPr>
          <w:rFonts w:ascii="Times New Roman" w:hAnsi="Times New Roman"/>
          <w:sz w:val="20"/>
          <w:szCs w:val="20"/>
        </w:rPr>
        <w:t xml:space="preserve"> training and</w:t>
      </w:r>
      <w:r w:rsidR="001C6249" w:rsidRPr="00F06923">
        <w:rPr>
          <w:rFonts w:ascii="Times New Roman" w:hAnsi="Times New Roman"/>
          <w:sz w:val="20"/>
          <w:szCs w:val="20"/>
        </w:rPr>
        <w:t xml:space="preserve"> professional development, classroom characteristics, instructional resources, use of assessments, and instructional influences.  </w:t>
      </w:r>
      <w:r w:rsidR="00587242" w:rsidRPr="00F06923">
        <w:rPr>
          <w:rFonts w:ascii="Times New Roman" w:hAnsi="Times New Roman"/>
          <w:sz w:val="20"/>
          <w:szCs w:val="20"/>
        </w:rPr>
        <w:t>Teachers’ responses are intended to reflect their perceptions of the curriculum and instruction provided to students on their</w:t>
      </w:r>
      <w:r w:rsidR="001C6249" w:rsidRPr="00F06923">
        <w:rPr>
          <w:rFonts w:ascii="Times New Roman" w:hAnsi="Times New Roman"/>
          <w:sz w:val="20"/>
          <w:szCs w:val="20"/>
        </w:rPr>
        <w:t xml:space="preserve"> caseload</w:t>
      </w:r>
      <w:r w:rsidR="00587242" w:rsidRPr="00F06923">
        <w:rPr>
          <w:rFonts w:ascii="Times New Roman" w:hAnsi="Times New Roman"/>
          <w:sz w:val="20"/>
          <w:szCs w:val="20"/>
        </w:rPr>
        <w:t>s</w:t>
      </w:r>
      <w:r w:rsidR="001C6249" w:rsidRPr="00F06923">
        <w:rPr>
          <w:rFonts w:ascii="Times New Roman" w:hAnsi="Times New Roman"/>
          <w:sz w:val="20"/>
          <w:szCs w:val="20"/>
        </w:rPr>
        <w:t xml:space="preserve"> or </w:t>
      </w:r>
      <w:r w:rsidR="00587242" w:rsidRPr="00F06923">
        <w:rPr>
          <w:rFonts w:ascii="Times New Roman" w:hAnsi="Times New Roman"/>
          <w:sz w:val="20"/>
          <w:szCs w:val="20"/>
        </w:rPr>
        <w:t>in their classrooms</w:t>
      </w:r>
      <w:r w:rsidR="001C6249" w:rsidRPr="00F06923">
        <w:rPr>
          <w:rFonts w:ascii="Times New Roman" w:hAnsi="Times New Roman"/>
          <w:sz w:val="20"/>
          <w:szCs w:val="20"/>
        </w:rPr>
        <w:t>. The second part of the</w:t>
      </w:r>
      <w:r w:rsidR="00587242" w:rsidRPr="00F06923">
        <w:rPr>
          <w:rFonts w:ascii="Times New Roman" w:hAnsi="Times New Roman"/>
          <w:sz w:val="20"/>
          <w:szCs w:val="20"/>
        </w:rPr>
        <w:t xml:space="preserve"> CIS</w:t>
      </w:r>
      <w:r w:rsidR="001C6249" w:rsidRPr="00F06923">
        <w:rPr>
          <w:rFonts w:ascii="Times New Roman" w:hAnsi="Times New Roman"/>
          <w:sz w:val="20"/>
          <w:szCs w:val="20"/>
        </w:rPr>
        <w:t xml:space="preserve"> </w:t>
      </w:r>
      <w:r w:rsidR="00254DCC" w:rsidRPr="00F06923">
        <w:rPr>
          <w:rFonts w:ascii="Times New Roman" w:hAnsi="Times New Roman"/>
          <w:sz w:val="20"/>
          <w:szCs w:val="20"/>
        </w:rPr>
        <w:t xml:space="preserve">was </w:t>
      </w:r>
      <w:r w:rsidR="001C6249" w:rsidRPr="00F06923">
        <w:rPr>
          <w:rFonts w:ascii="Times New Roman" w:hAnsi="Times New Roman"/>
          <w:sz w:val="20"/>
          <w:szCs w:val="20"/>
        </w:rPr>
        <w:t>completed with</w:t>
      </w:r>
      <w:r w:rsidR="00254DCC" w:rsidRPr="00F06923">
        <w:rPr>
          <w:rFonts w:ascii="Times New Roman" w:hAnsi="Times New Roman"/>
          <w:sz w:val="20"/>
          <w:szCs w:val="20"/>
        </w:rPr>
        <w:t xml:space="preserve"> regard to the education experiences of</w:t>
      </w:r>
      <w:r w:rsidR="001C6249" w:rsidRPr="00F06923">
        <w:rPr>
          <w:rFonts w:ascii="Times New Roman" w:hAnsi="Times New Roman"/>
          <w:sz w:val="20"/>
          <w:szCs w:val="20"/>
        </w:rPr>
        <w:t xml:space="preserve"> the student that was selected for this study. This section of the </w:t>
      </w:r>
      <w:r w:rsidR="00587242" w:rsidRPr="00F06923">
        <w:rPr>
          <w:rFonts w:ascii="Times New Roman" w:hAnsi="Times New Roman"/>
          <w:sz w:val="20"/>
          <w:szCs w:val="20"/>
        </w:rPr>
        <w:t>CIS</w:t>
      </w:r>
      <w:r w:rsidR="001C6249" w:rsidRPr="00F06923">
        <w:rPr>
          <w:rFonts w:ascii="Times New Roman" w:hAnsi="Times New Roman"/>
          <w:sz w:val="20"/>
          <w:szCs w:val="20"/>
        </w:rPr>
        <w:t xml:space="preserve"> lists specific topics related to either math</w:t>
      </w:r>
      <w:r w:rsidR="00254DCC" w:rsidRPr="00F06923">
        <w:rPr>
          <w:rFonts w:ascii="Times New Roman" w:hAnsi="Times New Roman"/>
          <w:sz w:val="20"/>
          <w:szCs w:val="20"/>
        </w:rPr>
        <w:t>ematics</w:t>
      </w:r>
      <w:r w:rsidR="001C6249" w:rsidRPr="00F06923">
        <w:rPr>
          <w:rFonts w:ascii="Times New Roman" w:hAnsi="Times New Roman"/>
          <w:sz w:val="20"/>
          <w:szCs w:val="20"/>
        </w:rPr>
        <w:t xml:space="preserve"> or English/Language Arts (ELA) and specific content within those areas. Teachers rate</w:t>
      </w:r>
      <w:r w:rsidR="00254DCC" w:rsidRPr="00F06923">
        <w:rPr>
          <w:rFonts w:ascii="Times New Roman" w:hAnsi="Times New Roman"/>
          <w:sz w:val="20"/>
          <w:szCs w:val="20"/>
        </w:rPr>
        <w:t xml:space="preserve"> </w:t>
      </w:r>
      <w:r w:rsidR="001C6249" w:rsidRPr="00F06923">
        <w:rPr>
          <w:rFonts w:ascii="Times New Roman" w:hAnsi="Times New Roman"/>
          <w:sz w:val="20"/>
          <w:szCs w:val="20"/>
        </w:rPr>
        <w:t xml:space="preserve">the intensity of coverage of each item within the topics, the highest performance expectation or cognitive demands that the </w:t>
      </w:r>
      <w:r w:rsidR="007864C4" w:rsidRPr="00F06923">
        <w:rPr>
          <w:rFonts w:ascii="Times New Roman" w:hAnsi="Times New Roman"/>
          <w:sz w:val="20"/>
          <w:szCs w:val="20"/>
        </w:rPr>
        <w:t>teacher believes</w:t>
      </w:r>
      <w:r w:rsidR="001C6249" w:rsidRPr="00F06923">
        <w:rPr>
          <w:rFonts w:ascii="Times New Roman" w:hAnsi="Times New Roman"/>
          <w:sz w:val="20"/>
          <w:szCs w:val="20"/>
        </w:rPr>
        <w:t xml:space="preserve"> that the students can achieve, grade level(s) from which instructional materials are adapted, and the intensity of use for a variety of instructional activities. For the purpose of this study, the teachers provided ratings for the intensity of instructional coverage for a series of concepts and skills in the domains of Language, Reading, Writing, and Media</w:t>
      </w:r>
      <w:r w:rsidR="00254DCC" w:rsidRPr="00F06923">
        <w:rPr>
          <w:rFonts w:ascii="Times New Roman" w:hAnsi="Times New Roman"/>
          <w:sz w:val="20"/>
          <w:szCs w:val="20"/>
        </w:rPr>
        <w:t>.</w:t>
      </w:r>
      <w:r w:rsidR="001C6249" w:rsidRPr="00F06923">
        <w:rPr>
          <w:rFonts w:ascii="Times New Roman" w:hAnsi="Times New Roman"/>
          <w:sz w:val="20"/>
          <w:szCs w:val="20"/>
        </w:rPr>
        <w:t xml:space="preserve"> For each concept or skill, ratings range from </w:t>
      </w:r>
      <w:r w:rsidR="001C6249" w:rsidRPr="005C7EDB">
        <w:rPr>
          <w:rFonts w:ascii="Times New Roman" w:hAnsi="Times New Roman"/>
          <w:i/>
          <w:sz w:val="20"/>
          <w:szCs w:val="20"/>
        </w:rPr>
        <w:t xml:space="preserve">0 = </w:t>
      </w:r>
      <w:r w:rsidR="005C7EDB">
        <w:rPr>
          <w:rFonts w:ascii="Times New Roman" w:hAnsi="Times New Roman"/>
          <w:i/>
          <w:sz w:val="20"/>
          <w:szCs w:val="20"/>
        </w:rPr>
        <w:t>no coverage</w:t>
      </w:r>
      <w:r w:rsidR="001C6249" w:rsidRPr="005C7EDB">
        <w:rPr>
          <w:rFonts w:ascii="Times New Roman" w:hAnsi="Times New Roman"/>
          <w:i/>
          <w:sz w:val="20"/>
          <w:szCs w:val="20"/>
        </w:rPr>
        <w:t xml:space="preserve"> </w:t>
      </w:r>
      <w:r w:rsidR="001C6249" w:rsidRPr="005C7EDB">
        <w:rPr>
          <w:rFonts w:ascii="Times New Roman" w:hAnsi="Times New Roman"/>
          <w:sz w:val="20"/>
          <w:szCs w:val="20"/>
        </w:rPr>
        <w:t>to</w:t>
      </w:r>
      <w:r w:rsidR="005C7EDB">
        <w:rPr>
          <w:rFonts w:ascii="Times New Roman" w:hAnsi="Times New Roman"/>
          <w:i/>
          <w:sz w:val="20"/>
          <w:szCs w:val="20"/>
        </w:rPr>
        <w:t xml:space="preserve"> </w:t>
      </w:r>
      <w:r w:rsidR="001C6249" w:rsidRPr="005C7EDB">
        <w:rPr>
          <w:rFonts w:ascii="Times New Roman" w:hAnsi="Times New Roman"/>
          <w:i/>
          <w:sz w:val="20"/>
          <w:szCs w:val="20"/>
        </w:rPr>
        <w:t>4 = intense/systematic coverage</w:t>
      </w:r>
      <w:r w:rsidR="005C7EDB">
        <w:rPr>
          <w:rFonts w:ascii="Times New Roman" w:hAnsi="Times New Roman"/>
          <w:i/>
          <w:sz w:val="20"/>
          <w:szCs w:val="20"/>
        </w:rPr>
        <w:t>.</w:t>
      </w:r>
      <w:r w:rsidR="001C6249" w:rsidRPr="005C7EDB">
        <w:rPr>
          <w:rFonts w:ascii="Times New Roman" w:hAnsi="Times New Roman"/>
          <w:i/>
          <w:sz w:val="20"/>
          <w:szCs w:val="20"/>
        </w:rPr>
        <w:t xml:space="preserve"> </w:t>
      </w:r>
    </w:p>
    <w:p w:rsidR="00C71B59" w:rsidRDefault="00C71B59" w:rsidP="00C71B59">
      <w:pPr>
        <w:spacing w:after="0" w:line="240" w:lineRule="auto"/>
        <w:jc w:val="both"/>
        <w:rPr>
          <w:rFonts w:ascii="Times New Roman" w:hAnsi="Times New Roman"/>
          <w:b/>
          <w:sz w:val="20"/>
          <w:szCs w:val="20"/>
        </w:rPr>
      </w:pPr>
    </w:p>
    <w:p w:rsidR="001C6249" w:rsidRPr="00F06923" w:rsidRDefault="00D212F1" w:rsidP="00C71B59">
      <w:pPr>
        <w:spacing w:after="0" w:line="240" w:lineRule="auto"/>
        <w:jc w:val="both"/>
        <w:rPr>
          <w:rFonts w:ascii="Times New Roman" w:hAnsi="Times New Roman"/>
          <w:b/>
          <w:bCs/>
          <w:sz w:val="20"/>
          <w:szCs w:val="20"/>
        </w:rPr>
      </w:pPr>
      <w:proofErr w:type="gramStart"/>
      <w:r w:rsidRPr="00C71B59">
        <w:rPr>
          <w:rFonts w:ascii="Times New Roman" w:hAnsi="Times New Roman"/>
          <w:i/>
          <w:sz w:val="20"/>
          <w:szCs w:val="20"/>
        </w:rPr>
        <w:t>IEP analysis t</w:t>
      </w:r>
      <w:r w:rsidR="001C6249" w:rsidRPr="00C71B59">
        <w:rPr>
          <w:rFonts w:ascii="Times New Roman" w:hAnsi="Times New Roman"/>
          <w:i/>
          <w:sz w:val="20"/>
          <w:szCs w:val="20"/>
        </w:rPr>
        <w:t>ool</w:t>
      </w:r>
      <w:r w:rsidRPr="00C71B59">
        <w:rPr>
          <w:rFonts w:ascii="Times New Roman" w:hAnsi="Times New Roman"/>
          <w:i/>
          <w:sz w:val="20"/>
          <w:szCs w:val="20"/>
        </w:rPr>
        <w:t>.</w:t>
      </w:r>
      <w:proofErr w:type="gramEnd"/>
      <w:r w:rsidRPr="00F06923">
        <w:rPr>
          <w:rFonts w:ascii="Times New Roman" w:hAnsi="Times New Roman"/>
          <w:b/>
          <w:sz w:val="20"/>
          <w:szCs w:val="20"/>
        </w:rPr>
        <w:t xml:space="preserve"> </w:t>
      </w:r>
      <w:r w:rsidR="00BE10A2" w:rsidRPr="00F06923">
        <w:rPr>
          <w:rFonts w:ascii="Times New Roman" w:hAnsi="Times New Roman"/>
          <w:sz w:val="20"/>
          <w:szCs w:val="20"/>
        </w:rPr>
        <w:t>An IEP analysis tool</w:t>
      </w:r>
      <w:r w:rsidR="00C675DD" w:rsidRPr="00F06923">
        <w:rPr>
          <w:rFonts w:ascii="Times New Roman" w:hAnsi="Times New Roman"/>
          <w:sz w:val="20"/>
          <w:szCs w:val="20"/>
        </w:rPr>
        <w:t xml:space="preserve"> (see appendix)</w:t>
      </w:r>
      <w:r w:rsidR="00BE10A2" w:rsidRPr="00F06923">
        <w:rPr>
          <w:rFonts w:ascii="Times New Roman" w:hAnsi="Times New Roman"/>
          <w:sz w:val="20"/>
          <w:szCs w:val="20"/>
        </w:rPr>
        <w:t xml:space="preserve"> </w:t>
      </w:r>
      <w:r w:rsidR="001C6249" w:rsidRPr="00F06923">
        <w:rPr>
          <w:rFonts w:ascii="Times New Roman" w:hAnsi="Times New Roman"/>
          <w:sz w:val="20"/>
          <w:szCs w:val="20"/>
        </w:rPr>
        <w:t>was created for use in this study. The evaluative ratings were based on guidelines for creating standards-based IEPS developed by the National Association of State Directors of Special Education (2007</w:t>
      </w:r>
      <w:r w:rsidR="00254DCC" w:rsidRPr="00F06923">
        <w:rPr>
          <w:rFonts w:ascii="Times New Roman" w:hAnsi="Times New Roman"/>
          <w:sz w:val="20"/>
          <w:szCs w:val="20"/>
        </w:rPr>
        <w:t>).</w:t>
      </w:r>
      <w:r w:rsidR="0025250C" w:rsidRPr="00F06923">
        <w:rPr>
          <w:rFonts w:ascii="Times New Roman" w:hAnsi="Times New Roman"/>
          <w:sz w:val="20"/>
          <w:szCs w:val="20"/>
        </w:rPr>
        <w:t xml:space="preserve"> </w:t>
      </w:r>
      <w:r w:rsidR="001C6249" w:rsidRPr="00F06923">
        <w:rPr>
          <w:rFonts w:ascii="Times New Roman" w:hAnsi="Times New Roman"/>
          <w:sz w:val="20"/>
          <w:szCs w:val="20"/>
        </w:rPr>
        <w:t>T</w:t>
      </w:r>
      <w:r w:rsidR="00E20516" w:rsidRPr="00F06923">
        <w:rPr>
          <w:rFonts w:ascii="Times New Roman" w:hAnsi="Times New Roman"/>
          <w:sz w:val="20"/>
          <w:szCs w:val="20"/>
        </w:rPr>
        <w:t>he</w:t>
      </w:r>
      <w:r w:rsidR="001C6249" w:rsidRPr="00F06923">
        <w:rPr>
          <w:rFonts w:ascii="Times New Roman" w:hAnsi="Times New Roman"/>
          <w:sz w:val="20"/>
          <w:szCs w:val="20"/>
        </w:rPr>
        <w:t xml:space="preserve"> IEP analyses tool </w:t>
      </w:r>
      <w:r w:rsidR="006F1E04" w:rsidRPr="00F06923">
        <w:rPr>
          <w:rFonts w:ascii="Times New Roman" w:hAnsi="Times New Roman"/>
          <w:sz w:val="20"/>
          <w:szCs w:val="20"/>
        </w:rPr>
        <w:t xml:space="preserve">included 4 items which </w:t>
      </w:r>
      <w:r w:rsidR="001C6249" w:rsidRPr="00F06923">
        <w:rPr>
          <w:rFonts w:ascii="Times New Roman" w:hAnsi="Times New Roman"/>
          <w:sz w:val="20"/>
          <w:szCs w:val="20"/>
        </w:rPr>
        <w:t xml:space="preserve">asked raters to evaluate the extent to which </w:t>
      </w:r>
      <w:r w:rsidR="006F1E04" w:rsidRPr="00F06923">
        <w:rPr>
          <w:rFonts w:ascii="Times New Roman" w:hAnsi="Times New Roman"/>
          <w:sz w:val="20"/>
          <w:szCs w:val="20"/>
        </w:rPr>
        <w:t>each IEP goal</w:t>
      </w:r>
      <w:r w:rsidR="001C6249" w:rsidRPr="00F06923">
        <w:rPr>
          <w:rFonts w:ascii="Times New Roman" w:hAnsi="Times New Roman"/>
          <w:sz w:val="20"/>
          <w:szCs w:val="20"/>
        </w:rPr>
        <w:t xml:space="preserve"> (a) </w:t>
      </w:r>
      <w:r w:rsidR="006F1E04" w:rsidRPr="00F06923">
        <w:rPr>
          <w:rFonts w:ascii="Times New Roman" w:hAnsi="Times New Roman"/>
          <w:sz w:val="20"/>
          <w:szCs w:val="20"/>
        </w:rPr>
        <w:t>aligned with state standards</w:t>
      </w:r>
      <w:r w:rsidR="001C6249" w:rsidRPr="00F06923">
        <w:rPr>
          <w:rFonts w:ascii="Times New Roman" w:hAnsi="Times New Roman"/>
          <w:sz w:val="20"/>
          <w:szCs w:val="20"/>
        </w:rPr>
        <w:t>,</w:t>
      </w:r>
      <w:r w:rsidRPr="00F06923">
        <w:rPr>
          <w:rFonts w:ascii="Times New Roman" w:hAnsi="Times New Roman"/>
          <w:sz w:val="20"/>
          <w:szCs w:val="20"/>
        </w:rPr>
        <w:t xml:space="preserve"> </w:t>
      </w:r>
      <w:r w:rsidR="001C6249" w:rsidRPr="00F06923">
        <w:rPr>
          <w:rFonts w:ascii="Times New Roman" w:hAnsi="Times New Roman"/>
          <w:sz w:val="20"/>
          <w:szCs w:val="20"/>
        </w:rPr>
        <w:t>(b</w:t>
      </w:r>
      <w:r w:rsidR="006F1E04" w:rsidRPr="00F06923">
        <w:rPr>
          <w:rFonts w:ascii="Times New Roman" w:hAnsi="Times New Roman"/>
          <w:sz w:val="20"/>
          <w:szCs w:val="20"/>
        </w:rPr>
        <w:t>) provided data on presented level of performance</w:t>
      </w:r>
      <w:r w:rsidR="00BE10A2" w:rsidRPr="00F06923">
        <w:rPr>
          <w:rFonts w:ascii="Times New Roman" w:hAnsi="Times New Roman"/>
          <w:sz w:val="20"/>
          <w:szCs w:val="20"/>
        </w:rPr>
        <w:t>, (</w:t>
      </w:r>
      <w:r w:rsidR="001C6249" w:rsidRPr="00F06923">
        <w:rPr>
          <w:rFonts w:ascii="Times New Roman" w:hAnsi="Times New Roman"/>
          <w:sz w:val="20"/>
          <w:szCs w:val="20"/>
        </w:rPr>
        <w:t>c</w:t>
      </w:r>
      <w:r w:rsidR="006F1E04" w:rsidRPr="00F06923">
        <w:rPr>
          <w:rFonts w:ascii="Times New Roman" w:hAnsi="Times New Roman"/>
          <w:sz w:val="20"/>
          <w:szCs w:val="20"/>
        </w:rPr>
        <w:t>) identified students’ educational needs</w:t>
      </w:r>
      <w:r w:rsidR="00BE10A2" w:rsidRPr="00F06923">
        <w:rPr>
          <w:rFonts w:ascii="Times New Roman" w:hAnsi="Times New Roman"/>
          <w:sz w:val="20"/>
          <w:szCs w:val="20"/>
        </w:rPr>
        <w:t xml:space="preserve">, </w:t>
      </w:r>
      <w:r w:rsidR="001C6249" w:rsidRPr="00F06923">
        <w:rPr>
          <w:rFonts w:ascii="Times New Roman" w:hAnsi="Times New Roman"/>
          <w:sz w:val="20"/>
          <w:szCs w:val="20"/>
        </w:rPr>
        <w:t>and (d) described methods for documenting student progress.</w:t>
      </w:r>
      <w:r w:rsidR="006F1E04" w:rsidRPr="00F06923">
        <w:rPr>
          <w:rFonts w:ascii="Times New Roman" w:hAnsi="Times New Roman"/>
          <w:sz w:val="20"/>
          <w:szCs w:val="20"/>
        </w:rPr>
        <w:t xml:space="preserve"> Ratings on </w:t>
      </w:r>
      <w:r w:rsidR="006F1E04" w:rsidRPr="00F06923">
        <w:rPr>
          <w:rFonts w:ascii="Times New Roman" w:hAnsi="Times New Roman"/>
          <w:bCs/>
          <w:sz w:val="20"/>
          <w:szCs w:val="20"/>
        </w:rPr>
        <w:t xml:space="preserve">content alignment item focused on whether the </w:t>
      </w:r>
      <w:r w:rsidR="006F1E04" w:rsidRPr="00F06923">
        <w:rPr>
          <w:rFonts w:ascii="Times New Roman" w:hAnsi="Times New Roman"/>
          <w:sz w:val="20"/>
          <w:szCs w:val="20"/>
        </w:rPr>
        <w:t xml:space="preserve">IEP goal clearly specified a corresponding content standard and addressed skills and concepts that closely matched or aligned to the identified standard. The </w:t>
      </w:r>
      <w:r w:rsidR="0029166F" w:rsidRPr="00F06923">
        <w:rPr>
          <w:rFonts w:ascii="Times New Roman" w:hAnsi="Times New Roman"/>
          <w:sz w:val="20"/>
          <w:szCs w:val="20"/>
        </w:rPr>
        <w:t>p</w:t>
      </w:r>
      <w:r w:rsidR="006F1E04" w:rsidRPr="00F06923">
        <w:rPr>
          <w:rFonts w:ascii="Times New Roman" w:hAnsi="Times New Roman"/>
          <w:sz w:val="20"/>
          <w:szCs w:val="20"/>
        </w:rPr>
        <w:t xml:space="preserve">resent </w:t>
      </w:r>
      <w:r w:rsidR="0029166F" w:rsidRPr="00F06923">
        <w:rPr>
          <w:rFonts w:ascii="Times New Roman" w:hAnsi="Times New Roman"/>
          <w:sz w:val="20"/>
          <w:szCs w:val="20"/>
        </w:rPr>
        <w:t>l</w:t>
      </w:r>
      <w:r w:rsidR="006F1E04" w:rsidRPr="00F06923">
        <w:rPr>
          <w:rFonts w:ascii="Times New Roman" w:hAnsi="Times New Roman"/>
          <w:sz w:val="20"/>
          <w:szCs w:val="20"/>
        </w:rPr>
        <w:t xml:space="preserve">evel of </w:t>
      </w:r>
      <w:r w:rsidR="0029166F" w:rsidRPr="00F06923">
        <w:rPr>
          <w:rFonts w:ascii="Times New Roman" w:hAnsi="Times New Roman"/>
          <w:sz w:val="20"/>
          <w:szCs w:val="20"/>
        </w:rPr>
        <w:t>p</w:t>
      </w:r>
      <w:r w:rsidR="006F1E04" w:rsidRPr="00F06923">
        <w:rPr>
          <w:rFonts w:ascii="Times New Roman" w:hAnsi="Times New Roman"/>
          <w:sz w:val="20"/>
          <w:szCs w:val="20"/>
        </w:rPr>
        <w:t>erformance item asked</w:t>
      </w:r>
      <w:r w:rsidR="0029166F" w:rsidRPr="00F06923">
        <w:rPr>
          <w:rFonts w:ascii="Times New Roman" w:hAnsi="Times New Roman"/>
          <w:sz w:val="20"/>
          <w:szCs w:val="20"/>
        </w:rPr>
        <w:t xml:space="preserve"> raters</w:t>
      </w:r>
      <w:r w:rsidR="006F1E04" w:rsidRPr="00F06923">
        <w:rPr>
          <w:rFonts w:ascii="Times New Roman" w:hAnsi="Times New Roman"/>
          <w:sz w:val="20"/>
          <w:szCs w:val="20"/>
        </w:rPr>
        <w:t xml:space="preserve"> whether the IEP goal included specific assessment data describing the student’s current performance on goal-related concepts and skills. </w:t>
      </w:r>
      <w:r w:rsidR="0029166F" w:rsidRPr="00F06923">
        <w:rPr>
          <w:rFonts w:ascii="Times New Roman" w:hAnsi="Times New Roman"/>
          <w:sz w:val="20"/>
          <w:szCs w:val="20"/>
        </w:rPr>
        <w:t>Ratings on the e</w:t>
      </w:r>
      <w:r w:rsidR="006F1E04" w:rsidRPr="00F06923">
        <w:rPr>
          <w:rFonts w:ascii="Times New Roman" w:hAnsi="Times New Roman"/>
          <w:sz w:val="20"/>
          <w:szCs w:val="20"/>
        </w:rPr>
        <w:t xml:space="preserve">ducational </w:t>
      </w:r>
      <w:r w:rsidR="0029166F" w:rsidRPr="00F06923">
        <w:rPr>
          <w:rFonts w:ascii="Times New Roman" w:hAnsi="Times New Roman"/>
          <w:sz w:val="20"/>
          <w:szCs w:val="20"/>
        </w:rPr>
        <w:t>n</w:t>
      </w:r>
      <w:r w:rsidR="006F1E04" w:rsidRPr="00F06923">
        <w:rPr>
          <w:rFonts w:ascii="Times New Roman" w:hAnsi="Times New Roman"/>
          <w:sz w:val="20"/>
          <w:szCs w:val="20"/>
        </w:rPr>
        <w:t xml:space="preserve">eeds item </w:t>
      </w:r>
      <w:r w:rsidR="0029166F" w:rsidRPr="00F06923">
        <w:rPr>
          <w:rFonts w:ascii="Times New Roman" w:hAnsi="Times New Roman"/>
          <w:sz w:val="20"/>
          <w:szCs w:val="20"/>
        </w:rPr>
        <w:t>indicated</w:t>
      </w:r>
      <w:r w:rsidR="006F1E04" w:rsidRPr="00F06923">
        <w:rPr>
          <w:rFonts w:ascii="Times New Roman" w:hAnsi="Times New Roman"/>
          <w:sz w:val="20"/>
          <w:szCs w:val="20"/>
        </w:rPr>
        <w:t xml:space="preserve"> whether an IEP goal included an explanation of how the student’s disability adversely affected progress towards </w:t>
      </w:r>
      <w:r w:rsidR="006F1E04" w:rsidRPr="00F06923">
        <w:rPr>
          <w:rFonts w:ascii="Times New Roman" w:hAnsi="Times New Roman"/>
          <w:sz w:val="20"/>
          <w:szCs w:val="20"/>
        </w:rPr>
        <w:lastRenderedPageBreak/>
        <w:t xml:space="preserve">the skills and concepts addressed by the IEP goal as well as grade-level content standards. The Progress </w:t>
      </w:r>
      <w:r w:rsidR="0029166F" w:rsidRPr="00F06923">
        <w:rPr>
          <w:rFonts w:ascii="Times New Roman" w:hAnsi="Times New Roman"/>
          <w:sz w:val="20"/>
          <w:szCs w:val="20"/>
        </w:rPr>
        <w:t>m</w:t>
      </w:r>
      <w:r w:rsidR="006F1E04" w:rsidRPr="00F06923">
        <w:rPr>
          <w:rFonts w:ascii="Times New Roman" w:hAnsi="Times New Roman"/>
          <w:sz w:val="20"/>
          <w:szCs w:val="20"/>
        </w:rPr>
        <w:t>onitoring item a</w:t>
      </w:r>
      <w:r w:rsidR="0029166F" w:rsidRPr="00F06923">
        <w:rPr>
          <w:rFonts w:ascii="Times New Roman" w:hAnsi="Times New Roman"/>
          <w:sz w:val="20"/>
          <w:szCs w:val="20"/>
        </w:rPr>
        <w:t xml:space="preserve">sked raters </w:t>
      </w:r>
      <w:r w:rsidR="006F1E04" w:rsidRPr="00F06923">
        <w:rPr>
          <w:rFonts w:ascii="Times New Roman" w:hAnsi="Times New Roman"/>
          <w:sz w:val="20"/>
          <w:szCs w:val="20"/>
        </w:rPr>
        <w:t xml:space="preserve">whether the IEP goal defined the baseline level of performance </w:t>
      </w:r>
      <w:r w:rsidR="0029166F" w:rsidRPr="00F06923">
        <w:rPr>
          <w:rFonts w:ascii="Times New Roman" w:hAnsi="Times New Roman"/>
          <w:sz w:val="20"/>
          <w:szCs w:val="20"/>
        </w:rPr>
        <w:t xml:space="preserve">and </w:t>
      </w:r>
      <w:r w:rsidR="006F1E04" w:rsidRPr="00F06923">
        <w:rPr>
          <w:rFonts w:ascii="Times New Roman" w:hAnsi="Times New Roman"/>
          <w:sz w:val="20"/>
          <w:szCs w:val="20"/>
        </w:rPr>
        <w:t>included reasonable rigorous targets or outcomes in measurable terms.</w:t>
      </w:r>
      <w:r w:rsidR="0029166F" w:rsidRPr="00F06923">
        <w:rPr>
          <w:rFonts w:ascii="Times New Roman" w:hAnsi="Times New Roman"/>
          <w:b/>
          <w:bCs/>
          <w:sz w:val="20"/>
          <w:szCs w:val="20"/>
        </w:rPr>
        <w:t xml:space="preserve"> </w:t>
      </w:r>
      <w:r w:rsidR="001C6249" w:rsidRPr="00F06923">
        <w:rPr>
          <w:rFonts w:ascii="Times New Roman" w:hAnsi="Times New Roman"/>
          <w:sz w:val="20"/>
          <w:szCs w:val="20"/>
        </w:rPr>
        <w:t xml:space="preserve"> A 3-point </w:t>
      </w:r>
      <w:proofErr w:type="spellStart"/>
      <w:r w:rsidR="001C6249" w:rsidRPr="00F06923">
        <w:rPr>
          <w:rFonts w:ascii="Times New Roman" w:hAnsi="Times New Roman"/>
          <w:sz w:val="20"/>
          <w:szCs w:val="20"/>
        </w:rPr>
        <w:t>Likert</w:t>
      </w:r>
      <w:proofErr w:type="spellEnd"/>
      <w:r w:rsidR="001C6249" w:rsidRPr="00F06923">
        <w:rPr>
          <w:rFonts w:ascii="Times New Roman" w:hAnsi="Times New Roman"/>
          <w:sz w:val="20"/>
          <w:szCs w:val="20"/>
        </w:rPr>
        <w:t xml:space="preserve"> scale was used to rate </w:t>
      </w:r>
      <w:r w:rsidRPr="00F06923">
        <w:rPr>
          <w:rFonts w:ascii="Times New Roman" w:hAnsi="Times New Roman"/>
          <w:sz w:val="20"/>
          <w:szCs w:val="20"/>
        </w:rPr>
        <w:t>the extent to which each IEP goals included each of the aforementioned components</w:t>
      </w:r>
      <w:r w:rsidR="0029166F" w:rsidRPr="00F06923">
        <w:rPr>
          <w:rFonts w:ascii="Times New Roman" w:hAnsi="Times New Roman"/>
          <w:sz w:val="20"/>
          <w:szCs w:val="20"/>
        </w:rPr>
        <w:t xml:space="preserve"> with a rating of </w:t>
      </w:r>
      <w:r w:rsidR="0029166F" w:rsidRPr="005C7EDB">
        <w:rPr>
          <w:rFonts w:ascii="Times New Roman" w:hAnsi="Times New Roman"/>
          <w:i/>
          <w:sz w:val="20"/>
          <w:szCs w:val="20"/>
        </w:rPr>
        <w:t>2</w:t>
      </w:r>
      <w:r w:rsidR="0029166F" w:rsidRPr="00F06923">
        <w:rPr>
          <w:rFonts w:ascii="Times New Roman" w:hAnsi="Times New Roman"/>
          <w:sz w:val="20"/>
          <w:szCs w:val="20"/>
        </w:rPr>
        <w:t xml:space="preserve"> indicating full attainment of the criteria, </w:t>
      </w:r>
      <w:r w:rsidR="0029166F" w:rsidRPr="005C7EDB">
        <w:rPr>
          <w:rFonts w:ascii="Times New Roman" w:hAnsi="Times New Roman"/>
          <w:i/>
          <w:sz w:val="20"/>
          <w:szCs w:val="20"/>
        </w:rPr>
        <w:t>1</w:t>
      </w:r>
      <w:r w:rsidR="0029166F" w:rsidRPr="00F06923">
        <w:rPr>
          <w:rFonts w:ascii="Times New Roman" w:hAnsi="Times New Roman"/>
          <w:sz w:val="20"/>
          <w:szCs w:val="20"/>
        </w:rPr>
        <w:t xml:space="preserve"> indicating partial attainment, and </w:t>
      </w:r>
      <w:r w:rsidR="0029166F" w:rsidRPr="005C7EDB">
        <w:rPr>
          <w:rFonts w:ascii="Times New Roman" w:hAnsi="Times New Roman"/>
          <w:i/>
          <w:sz w:val="20"/>
          <w:szCs w:val="20"/>
        </w:rPr>
        <w:t>0</w:t>
      </w:r>
      <w:r w:rsidR="0029166F" w:rsidRPr="00F06923">
        <w:rPr>
          <w:rFonts w:ascii="Times New Roman" w:hAnsi="Times New Roman"/>
          <w:sz w:val="20"/>
          <w:szCs w:val="20"/>
        </w:rPr>
        <w:t xml:space="preserve"> indicating non-attainment</w:t>
      </w:r>
      <w:r w:rsidRPr="00F06923">
        <w:rPr>
          <w:rFonts w:ascii="Times New Roman" w:hAnsi="Times New Roman"/>
          <w:sz w:val="20"/>
          <w:szCs w:val="20"/>
        </w:rPr>
        <w:t xml:space="preserve">. </w:t>
      </w:r>
      <w:r w:rsidR="001C6249" w:rsidRPr="00F06923">
        <w:rPr>
          <w:rFonts w:ascii="Times New Roman" w:hAnsi="Times New Roman"/>
          <w:sz w:val="20"/>
          <w:szCs w:val="20"/>
        </w:rPr>
        <w:t xml:space="preserve"> </w:t>
      </w:r>
    </w:p>
    <w:p w:rsidR="00C71B59" w:rsidRDefault="00C71B59" w:rsidP="00E16B14">
      <w:pPr>
        <w:spacing w:after="0" w:line="240" w:lineRule="auto"/>
        <w:contextualSpacing/>
        <w:jc w:val="both"/>
        <w:rPr>
          <w:rFonts w:ascii="Times New Roman" w:hAnsi="Times New Roman"/>
          <w:b/>
          <w:sz w:val="20"/>
          <w:szCs w:val="20"/>
        </w:rPr>
      </w:pPr>
    </w:p>
    <w:p w:rsidR="00F77910" w:rsidRPr="00C71B59" w:rsidRDefault="000E5EA8" w:rsidP="00E16B14">
      <w:pPr>
        <w:spacing w:after="0" w:line="240" w:lineRule="auto"/>
        <w:contextualSpacing/>
        <w:jc w:val="both"/>
        <w:rPr>
          <w:rFonts w:ascii="Times New Roman" w:hAnsi="Times New Roman"/>
          <w:i/>
          <w:sz w:val="20"/>
          <w:szCs w:val="20"/>
        </w:rPr>
      </w:pPr>
      <w:r w:rsidRPr="00C71B59">
        <w:rPr>
          <w:rFonts w:ascii="Times New Roman" w:hAnsi="Times New Roman"/>
          <w:i/>
          <w:sz w:val="20"/>
          <w:szCs w:val="20"/>
        </w:rPr>
        <w:t>Procedure</w:t>
      </w:r>
    </w:p>
    <w:p w:rsidR="00C675DD" w:rsidRPr="00F06923" w:rsidRDefault="00BC6DBD" w:rsidP="00C71B59">
      <w:pPr>
        <w:autoSpaceDE w:val="0"/>
        <w:autoSpaceDN w:val="0"/>
        <w:adjustRightInd w:val="0"/>
        <w:spacing w:after="0" w:line="240" w:lineRule="auto"/>
        <w:jc w:val="both"/>
        <w:rPr>
          <w:rFonts w:ascii="Times New Roman" w:hAnsi="Times New Roman"/>
          <w:sz w:val="20"/>
          <w:szCs w:val="20"/>
        </w:rPr>
      </w:pPr>
      <w:r w:rsidRPr="00F06923">
        <w:rPr>
          <w:rFonts w:ascii="Times New Roman" w:hAnsi="Times New Roman"/>
          <w:sz w:val="20"/>
          <w:szCs w:val="20"/>
        </w:rPr>
        <w:t xml:space="preserve">Students’ IEP goals were evaluated by a research team comprised </w:t>
      </w:r>
      <w:r w:rsidR="00587242" w:rsidRPr="00F06923">
        <w:rPr>
          <w:rFonts w:ascii="Times New Roman" w:hAnsi="Times New Roman"/>
          <w:sz w:val="20"/>
          <w:szCs w:val="20"/>
        </w:rPr>
        <w:t>of one</w:t>
      </w:r>
      <w:r w:rsidR="00DA05A6" w:rsidRPr="00F06923">
        <w:rPr>
          <w:rFonts w:ascii="Times New Roman" w:hAnsi="Times New Roman"/>
          <w:sz w:val="20"/>
          <w:szCs w:val="20"/>
        </w:rPr>
        <w:t xml:space="preserve"> </w:t>
      </w:r>
      <w:r w:rsidR="00651037" w:rsidRPr="00F06923">
        <w:rPr>
          <w:rFonts w:ascii="Times New Roman" w:hAnsi="Times New Roman"/>
          <w:sz w:val="20"/>
          <w:szCs w:val="20"/>
        </w:rPr>
        <w:t>faculty member and</w:t>
      </w:r>
      <w:r w:rsidRPr="00F06923">
        <w:rPr>
          <w:rFonts w:ascii="Times New Roman" w:hAnsi="Times New Roman"/>
          <w:sz w:val="20"/>
          <w:szCs w:val="20"/>
        </w:rPr>
        <w:t xml:space="preserve"> three advanced graduate students in school psychology; three of the team members</w:t>
      </w:r>
      <w:r w:rsidR="00E30777" w:rsidRPr="00F06923">
        <w:rPr>
          <w:rFonts w:ascii="Times New Roman" w:hAnsi="Times New Roman"/>
          <w:sz w:val="20"/>
          <w:szCs w:val="20"/>
        </w:rPr>
        <w:t xml:space="preserve"> also</w:t>
      </w:r>
      <w:r w:rsidRPr="00F06923">
        <w:rPr>
          <w:rFonts w:ascii="Times New Roman" w:hAnsi="Times New Roman"/>
          <w:sz w:val="20"/>
          <w:szCs w:val="20"/>
        </w:rPr>
        <w:t xml:space="preserve"> had extensive experience as special education teachers. </w:t>
      </w:r>
      <w:r w:rsidR="00587242" w:rsidRPr="00F06923">
        <w:rPr>
          <w:rFonts w:ascii="Times New Roman" w:hAnsi="Times New Roman"/>
          <w:sz w:val="20"/>
          <w:szCs w:val="20"/>
        </w:rPr>
        <w:t>Prio</w:t>
      </w:r>
      <w:r w:rsidR="005C7EDB">
        <w:rPr>
          <w:rFonts w:ascii="Times New Roman" w:hAnsi="Times New Roman"/>
          <w:sz w:val="20"/>
          <w:szCs w:val="20"/>
        </w:rPr>
        <w:t xml:space="preserve">r to completing ratings of the </w:t>
      </w:r>
      <w:r w:rsidR="00587242" w:rsidRPr="005C7EDB">
        <w:rPr>
          <w:rFonts w:ascii="Times New Roman" w:hAnsi="Times New Roman"/>
          <w:i/>
          <w:sz w:val="20"/>
          <w:szCs w:val="20"/>
        </w:rPr>
        <w:t>research</w:t>
      </w:r>
      <w:r w:rsidR="00587242" w:rsidRPr="00F06923">
        <w:rPr>
          <w:rFonts w:ascii="Times New Roman" w:hAnsi="Times New Roman"/>
          <w:sz w:val="20"/>
          <w:szCs w:val="20"/>
        </w:rPr>
        <w:t xml:space="preserve"> IEPs, t</w:t>
      </w:r>
      <w:r w:rsidRPr="00F06923">
        <w:rPr>
          <w:rFonts w:ascii="Times New Roman" w:hAnsi="Times New Roman"/>
          <w:sz w:val="20"/>
          <w:szCs w:val="20"/>
        </w:rPr>
        <w:t xml:space="preserve">he </w:t>
      </w:r>
      <w:r w:rsidR="00587242" w:rsidRPr="00F06923">
        <w:rPr>
          <w:rFonts w:ascii="Times New Roman" w:hAnsi="Times New Roman"/>
          <w:sz w:val="20"/>
          <w:szCs w:val="20"/>
        </w:rPr>
        <w:t xml:space="preserve">team used the </w:t>
      </w:r>
      <w:r w:rsidRPr="00F06923">
        <w:rPr>
          <w:rFonts w:ascii="Times New Roman" w:hAnsi="Times New Roman"/>
          <w:sz w:val="20"/>
          <w:szCs w:val="20"/>
        </w:rPr>
        <w:t xml:space="preserve">IEP analyses tool to evaluate </w:t>
      </w:r>
      <w:r w:rsidR="00254DCC" w:rsidRPr="005C7EDB">
        <w:rPr>
          <w:rFonts w:ascii="Times New Roman" w:hAnsi="Times New Roman"/>
          <w:i/>
          <w:sz w:val="20"/>
          <w:szCs w:val="20"/>
        </w:rPr>
        <w:t>p</w:t>
      </w:r>
      <w:r w:rsidRPr="005C7EDB">
        <w:rPr>
          <w:rFonts w:ascii="Times New Roman" w:hAnsi="Times New Roman"/>
          <w:i/>
          <w:sz w:val="20"/>
          <w:szCs w:val="20"/>
        </w:rPr>
        <w:t>ractice</w:t>
      </w:r>
      <w:r w:rsidRPr="00F06923">
        <w:rPr>
          <w:rFonts w:ascii="Times New Roman" w:hAnsi="Times New Roman"/>
          <w:sz w:val="20"/>
          <w:szCs w:val="20"/>
        </w:rPr>
        <w:t xml:space="preserve"> IEPs</w:t>
      </w:r>
      <w:r w:rsidR="0089187E" w:rsidRPr="00F06923">
        <w:rPr>
          <w:rFonts w:ascii="Times New Roman" w:hAnsi="Times New Roman"/>
          <w:sz w:val="20"/>
          <w:szCs w:val="20"/>
        </w:rPr>
        <w:t xml:space="preserve"> (collected as part of a previous study</w:t>
      </w:r>
      <w:r w:rsidR="00254DCC" w:rsidRPr="00F06923">
        <w:rPr>
          <w:rFonts w:ascii="Times New Roman" w:hAnsi="Times New Roman"/>
          <w:sz w:val="20"/>
          <w:szCs w:val="20"/>
        </w:rPr>
        <w:t>)</w:t>
      </w:r>
      <w:r w:rsidR="00DA05A6" w:rsidRPr="00F06923">
        <w:rPr>
          <w:rFonts w:ascii="Times New Roman" w:hAnsi="Times New Roman"/>
          <w:sz w:val="20"/>
          <w:szCs w:val="20"/>
        </w:rPr>
        <w:t>.</w:t>
      </w:r>
      <w:r w:rsidRPr="00F06923">
        <w:rPr>
          <w:rFonts w:ascii="Times New Roman" w:hAnsi="Times New Roman"/>
          <w:sz w:val="20"/>
          <w:szCs w:val="20"/>
        </w:rPr>
        <w:t xml:space="preserve"> </w:t>
      </w:r>
      <w:r w:rsidR="00DA05A6" w:rsidRPr="00F06923">
        <w:rPr>
          <w:rFonts w:ascii="Times New Roman" w:hAnsi="Times New Roman"/>
          <w:sz w:val="20"/>
          <w:szCs w:val="20"/>
        </w:rPr>
        <w:t xml:space="preserve"> E</w:t>
      </w:r>
      <w:r w:rsidR="00254DCC" w:rsidRPr="00F06923">
        <w:rPr>
          <w:rFonts w:ascii="Times New Roman" w:hAnsi="Times New Roman"/>
          <w:sz w:val="20"/>
          <w:szCs w:val="20"/>
        </w:rPr>
        <w:t>ach team member individually</w:t>
      </w:r>
      <w:r w:rsidRPr="00F06923">
        <w:rPr>
          <w:rFonts w:ascii="Times New Roman" w:hAnsi="Times New Roman"/>
          <w:sz w:val="20"/>
          <w:szCs w:val="20"/>
        </w:rPr>
        <w:t xml:space="preserve"> </w:t>
      </w:r>
      <w:r w:rsidR="00254DCC" w:rsidRPr="00F06923">
        <w:rPr>
          <w:rFonts w:ascii="Times New Roman" w:hAnsi="Times New Roman"/>
          <w:sz w:val="20"/>
          <w:szCs w:val="20"/>
        </w:rPr>
        <w:t xml:space="preserve">used the </w:t>
      </w:r>
      <w:r w:rsidRPr="00F06923">
        <w:rPr>
          <w:rFonts w:ascii="Times New Roman" w:hAnsi="Times New Roman"/>
          <w:sz w:val="20"/>
          <w:szCs w:val="20"/>
        </w:rPr>
        <w:t xml:space="preserve">tool </w:t>
      </w:r>
      <w:r w:rsidR="00254DCC" w:rsidRPr="00F06923">
        <w:rPr>
          <w:rFonts w:ascii="Times New Roman" w:hAnsi="Times New Roman"/>
          <w:sz w:val="20"/>
          <w:szCs w:val="20"/>
        </w:rPr>
        <w:t>to evaluate the</w:t>
      </w:r>
      <w:r w:rsidR="00587242" w:rsidRPr="00F06923">
        <w:rPr>
          <w:rFonts w:ascii="Times New Roman" w:hAnsi="Times New Roman"/>
          <w:sz w:val="20"/>
          <w:szCs w:val="20"/>
        </w:rPr>
        <w:t>se</w:t>
      </w:r>
      <w:r w:rsidR="00254DCC" w:rsidRPr="00F06923">
        <w:rPr>
          <w:rFonts w:ascii="Times New Roman" w:hAnsi="Times New Roman"/>
          <w:sz w:val="20"/>
          <w:szCs w:val="20"/>
        </w:rPr>
        <w:t xml:space="preserve"> </w:t>
      </w:r>
      <w:r w:rsidR="00254DCC" w:rsidRPr="005C7EDB">
        <w:rPr>
          <w:rFonts w:ascii="Times New Roman" w:hAnsi="Times New Roman"/>
          <w:i/>
          <w:sz w:val="20"/>
          <w:szCs w:val="20"/>
        </w:rPr>
        <w:t>practice</w:t>
      </w:r>
      <w:r w:rsidR="00254DCC" w:rsidRPr="00F06923">
        <w:rPr>
          <w:rFonts w:ascii="Times New Roman" w:hAnsi="Times New Roman"/>
          <w:sz w:val="20"/>
          <w:szCs w:val="20"/>
        </w:rPr>
        <w:t xml:space="preserve"> IEPs, then the team met to compare ratings, and </w:t>
      </w:r>
      <w:r w:rsidRPr="00F06923">
        <w:rPr>
          <w:rFonts w:ascii="Times New Roman" w:hAnsi="Times New Roman"/>
          <w:sz w:val="20"/>
          <w:szCs w:val="20"/>
        </w:rPr>
        <w:t>discuss</w:t>
      </w:r>
      <w:r w:rsidR="00254DCC" w:rsidRPr="00F06923">
        <w:rPr>
          <w:rFonts w:ascii="Times New Roman" w:hAnsi="Times New Roman"/>
          <w:sz w:val="20"/>
          <w:szCs w:val="20"/>
        </w:rPr>
        <w:t xml:space="preserve"> </w:t>
      </w:r>
      <w:r w:rsidRPr="00F06923">
        <w:rPr>
          <w:rFonts w:ascii="Times New Roman" w:hAnsi="Times New Roman"/>
          <w:sz w:val="20"/>
          <w:szCs w:val="20"/>
        </w:rPr>
        <w:t>and resolve any discrepancies. This process continued until inter-rater agreement exceeded 90% for ratings on all components</w:t>
      </w:r>
      <w:r w:rsidR="00254DCC" w:rsidRPr="00F06923">
        <w:rPr>
          <w:rFonts w:ascii="Times New Roman" w:hAnsi="Times New Roman"/>
          <w:sz w:val="20"/>
          <w:szCs w:val="20"/>
        </w:rPr>
        <w:t xml:space="preserve"> of the IEP analysis tool</w:t>
      </w:r>
      <w:r w:rsidRPr="00F06923">
        <w:rPr>
          <w:rFonts w:ascii="Times New Roman" w:hAnsi="Times New Roman"/>
          <w:sz w:val="20"/>
          <w:szCs w:val="20"/>
        </w:rPr>
        <w:t xml:space="preserve">. At this point, </w:t>
      </w:r>
      <w:r w:rsidR="007864C4" w:rsidRPr="00F06923">
        <w:rPr>
          <w:rFonts w:ascii="Times New Roman" w:hAnsi="Times New Roman"/>
          <w:sz w:val="20"/>
          <w:szCs w:val="20"/>
        </w:rPr>
        <w:t>two members of the research team independently rated each IEP</w:t>
      </w:r>
      <w:r w:rsidRPr="00F06923">
        <w:rPr>
          <w:rFonts w:ascii="Times New Roman" w:hAnsi="Times New Roman"/>
          <w:sz w:val="20"/>
          <w:szCs w:val="20"/>
        </w:rPr>
        <w:t>,</w:t>
      </w:r>
      <w:r w:rsidR="00DA05A6" w:rsidRPr="00F06923">
        <w:rPr>
          <w:rFonts w:ascii="Times New Roman" w:hAnsi="Times New Roman"/>
          <w:sz w:val="20"/>
          <w:szCs w:val="20"/>
        </w:rPr>
        <w:t xml:space="preserve"> this process resulted in </w:t>
      </w:r>
      <w:r w:rsidRPr="00F06923">
        <w:rPr>
          <w:rFonts w:ascii="Times New Roman" w:hAnsi="Times New Roman"/>
          <w:sz w:val="20"/>
          <w:szCs w:val="20"/>
        </w:rPr>
        <w:t xml:space="preserve">74.8% inter-rater agreement across dimensions. </w:t>
      </w:r>
      <w:r w:rsidR="00FC66F4" w:rsidRPr="00F06923">
        <w:rPr>
          <w:rFonts w:ascii="Times New Roman" w:hAnsi="Times New Roman"/>
          <w:sz w:val="20"/>
          <w:szCs w:val="20"/>
        </w:rPr>
        <w:t xml:space="preserve"> Any discrepancies in the independent ratings were reviewed and discussed by the first and second authors who then reached consensus on the most appropriate final rating.</w:t>
      </w:r>
    </w:p>
    <w:p w:rsidR="00C71B59" w:rsidRDefault="00C71B59" w:rsidP="00E16B14">
      <w:pPr>
        <w:spacing w:after="0" w:line="240" w:lineRule="auto"/>
        <w:contextualSpacing/>
        <w:jc w:val="both"/>
        <w:rPr>
          <w:rFonts w:ascii="Times New Roman" w:hAnsi="Times New Roman"/>
          <w:b/>
          <w:sz w:val="20"/>
          <w:szCs w:val="20"/>
        </w:rPr>
      </w:pPr>
    </w:p>
    <w:p w:rsidR="00F77910" w:rsidRPr="00F06923" w:rsidRDefault="000E5EA8" w:rsidP="00E16B14">
      <w:pPr>
        <w:spacing w:after="0" w:line="240" w:lineRule="auto"/>
        <w:contextualSpacing/>
        <w:jc w:val="both"/>
        <w:rPr>
          <w:rFonts w:ascii="Times New Roman" w:hAnsi="Times New Roman"/>
          <w:b/>
          <w:sz w:val="20"/>
          <w:szCs w:val="20"/>
        </w:rPr>
      </w:pPr>
      <w:r w:rsidRPr="00F06923">
        <w:rPr>
          <w:rFonts w:ascii="Times New Roman" w:hAnsi="Times New Roman"/>
          <w:b/>
          <w:sz w:val="20"/>
          <w:szCs w:val="20"/>
        </w:rPr>
        <w:t>Results</w:t>
      </w:r>
    </w:p>
    <w:p w:rsidR="00FB2723" w:rsidRPr="00F06923" w:rsidRDefault="00BC6DBD" w:rsidP="00C71B59">
      <w:pPr>
        <w:spacing w:after="0" w:line="240" w:lineRule="auto"/>
        <w:contextualSpacing/>
        <w:jc w:val="both"/>
        <w:rPr>
          <w:rFonts w:ascii="Times New Roman" w:hAnsi="Times New Roman"/>
          <w:sz w:val="20"/>
          <w:szCs w:val="20"/>
        </w:rPr>
      </w:pPr>
      <w:r w:rsidRPr="00F06923">
        <w:rPr>
          <w:rFonts w:ascii="Times New Roman" w:hAnsi="Times New Roman"/>
          <w:sz w:val="20"/>
          <w:szCs w:val="20"/>
        </w:rPr>
        <w:t>Descriptive statistics (means and standard deviations) were calculated for the IEP analyses tool for the entire sample and for each grade band (i.e.</w:t>
      </w:r>
      <w:r w:rsidR="00587242" w:rsidRPr="00F06923">
        <w:rPr>
          <w:rFonts w:ascii="Times New Roman" w:hAnsi="Times New Roman"/>
          <w:sz w:val="20"/>
          <w:szCs w:val="20"/>
        </w:rPr>
        <w:t>,</w:t>
      </w:r>
      <w:r w:rsidRPr="00F06923">
        <w:rPr>
          <w:rFonts w:ascii="Times New Roman" w:hAnsi="Times New Roman"/>
          <w:sz w:val="20"/>
          <w:szCs w:val="20"/>
        </w:rPr>
        <w:t xml:space="preserve"> elementary and middle school). </w:t>
      </w:r>
      <w:r w:rsidR="00587242" w:rsidRPr="00F06923">
        <w:rPr>
          <w:rFonts w:ascii="Times New Roman" w:hAnsi="Times New Roman"/>
          <w:sz w:val="20"/>
          <w:szCs w:val="20"/>
        </w:rPr>
        <w:t xml:space="preserve"> In addition</w:t>
      </w:r>
      <w:r w:rsidR="00FC66F4" w:rsidRPr="00F06923">
        <w:rPr>
          <w:rFonts w:ascii="Times New Roman" w:hAnsi="Times New Roman"/>
          <w:sz w:val="20"/>
          <w:szCs w:val="20"/>
        </w:rPr>
        <w:t>, one-sample</w:t>
      </w:r>
      <w:r w:rsidR="00254DCC" w:rsidRPr="00F06923">
        <w:rPr>
          <w:rFonts w:ascii="Times New Roman" w:hAnsi="Times New Roman"/>
          <w:sz w:val="20"/>
          <w:szCs w:val="20"/>
        </w:rPr>
        <w:t xml:space="preserve"> t-tests were conducted to identify significant differences in the means for each grade band. </w:t>
      </w:r>
      <w:r w:rsidRPr="00F06923">
        <w:rPr>
          <w:rFonts w:ascii="Times New Roman" w:hAnsi="Times New Roman"/>
          <w:sz w:val="20"/>
          <w:szCs w:val="20"/>
        </w:rPr>
        <w:t>Participating students’ IEPs had between three and four IEP goals (mean = 3.5) with 73% of those goals addressing academic content</w:t>
      </w:r>
      <w:r w:rsidR="00FB2723" w:rsidRPr="00F06923">
        <w:rPr>
          <w:rFonts w:ascii="Times New Roman" w:hAnsi="Times New Roman"/>
          <w:sz w:val="20"/>
          <w:szCs w:val="20"/>
        </w:rPr>
        <w:t xml:space="preserve"> (Table 1)</w:t>
      </w:r>
      <w:r w:rsidRPr="00F06923">
        <w:rPr>
          <w:rFonts w:ascii="Times New Roman" w:hAnsi="Times New Roman"/>
          <w:sz w:val="20"/>
          <w:szCs w:val="20"/>
        </w:rPr>
        <w:t>. The mean percentage of academic-focused IEP goals was significantly greater for elementary school students’ IEPs (79</w:t>
      </w:r>
      <w:r w:rsidR="00B9697B" w:rsidRPr="00F06923">
        <w:rPr>
          <w:rFonts w:ascii="Times New Roman" w:hAnsi="Times New Roman"/>
          <w:sz w:val="20"/>
          <w:szCs w:val="20"/>
        </w:rPr>
        <w:t>.0</w:t>
      </w:r>
      <w:r w:rsidRPr="00F06923">
        <w:rPr>
          <w:rFonts w:ascii="Times New Roman" w:hAnsi="Times New Roman"/>
          <w:sz w:val="20"/>
          <w:szCs w:val="20"/>
        </w:rPr>
        <w:t xml:space="preserve">%) than for middle school students’ IEPs (64.3%). The mean ratings </w:t>
      </w:r>
      <w:r w:rsidR="0029166F" w:rsidRPr="00F06923">
        <w:rPr>
          <w:rFonts w:ascii="Times New Roman" w:hAnsi="Times New Roman"/>
          <w:sz w:val="20"/>
          <w:szCs w:val="20"/>
        </w:rPr>
        <w:t xml:space="preserve">on the IEP analysis tool for academic-focused goals suggested variation in attainment of the quality criteria. Academic-focused IEP goals on participating students’ IEPs received a mean rating of 1.6 </w:t>
      </w:r>
      <w:r w:rsidRPr="00F06923">
        <w:rPr>
          <w:rFonts w:ascii="Times New Roman" w:hAnsi="Times New Roman"/>
          <w:sz w:val="20"/>
          <w:szCs w:val="20"/>
        </w:rPr>
        <w:t xml:space="preserve">on the </w:t>
      </w:r>
      <w:r w:rsidR="0029166F" w:rsidRPr="00F06923">
        <w:rPr>
          <w:rFonts w:ascii="Times New Roman" w:hAnsi="Times New Roman"/>
          <w:sz w:val="20"/>
          <w:szCs w:val="20"/>
        </w:rPr>
        <w:t>Curricular Access criterion</w:t>
      </w:r>
      <w:r w:rsidRPr="00F06923">
        <w:rPr>
          <w:rFonts w:ascii="Times New Roman" w:hAnsi="Times New Roman"/>
          <w:sz w:val="20"/>
          <w:szCs w:val="20"/>
        </w:rPr>
        <w:t xml:space="preserve"> and</w:t>
      </w:r>
      <w:r w:rsidR="0029166F" w:rsidRPr="00F06923">
        <w:rPr>
          <w:rFonts w:ascii="Times New Roman" w:hAnsi="Times New Roman"/>
          <w:sz w:val="20"/>
          <w:szCs w:val="20"/>
        </w:rPr>
        <w:t xml:space="preserve"> 1.4 on the</w:t>
      </w:r>
      <w:r w:rsidRPr="00F06923">
        <w:rPr>
          <w:rFonts w:ascii="Times New Roman" w:hAnsi="Times New Roman"/>
          <w:sz w:val="20"/>
          <w:szCs w:val="20"/>
        </w:rPr>
        <w:t xml:space="preserve"> </w:t>
      </w:r>
      <w:r w:rsidR="0029166F" w:rsidRPr="00F06923">
        <w:rPr>
          <w:rFonts w:ascii="Times New Roman" w:hAnsi="Times New Roman"/>
          <w:sz w:val="20"/>
          <w:szCs w:val="20"/>
        </w:rPr>
        <w:t>P</w:t>
      </w:r>
      <w:r w:rsidRPr="00F06923">
        <w:rPr>
          <w:rFonts w:ascii="Times New Roman" w:hAnsi="Times New Roman"/>
          <w:sz w:val="20"/>
          <w:szCs w:val="20"/>
        </w:rPr>
        <w:t xml:space="preserve">rogress </w:t>
      </w:r>
      <w:r w:rsidR="0029166F" w:rsidRPr="00F06923">
        <w:rPr>
          <w:rFonts w:ascii="Times New Roman" w:hAnsi="Times New Roman"/>
          <w:sz w:val="20"/>
          <w:szCs w:val="20"/>
        </w:rPr>
        <w:t>M</w:t>
      </w:r>
      <w:r w:rsidRPr="00F06923">
        <w:rPr>
          <w:rFonts w:ascii="Times New Roman" w:hAnsi="Times New Roman"/>
          <w:sz w:val="20"/>
          <w:szCs w:val="20"/>
        </w:rPr>
        <w:t xml:space="preserve">onitoring </w:t>
      </w:r>
      <w:r w:rsidR="0029166F" w:rsidRPr="00F06923">
        <w:rPr>
          <w:rFonts w:ascii="Times New Roman" w:hAnsi="Times New Roman"/>
          <w:sz w:val="20"/>
          <w:szCs w:val="20"/>
        </w:rPr>
        <w:t>criterion,</w:t>
      </w:r>
      <w:r w:rsidRPr="00F06923">
        <w:rPr>
          <w:rFonts w:ascii="Times New Roman" w:hAnsi="Times New Roman"/>
          <w:sz w:val="20"/>
          <w:szCs w:val="20"/>
        </w:rPr>
        <w:t xml:space="preserve"> suggest</w:t>
      </w:r>
      <w:r w:rsidR="0029166F" w:rsidRPr="00F06923">
        <w:rPr>
          <w:rFonts w:ascii="Times New Roman" w:hAnsi="Times New Roman"/>
          <w:sz w:val="20"/>
          <w:szCs w:val="20"/>
        </w:rPr>
        <w:t>ing</w:t>
      </w:r>
      <w:r w:rsidRPr="00F06923">
        <w:rPr>
          <w:rFonts w:ascii="Times New Roman" w:hAnsi="Times New Roman"/>
          <w:sz w:val="20"/>
          <w:szCs w:val="20"/>
        </w:rPr>
        <w:t xml:space="preserve"> these are areas of relative strength</w:t>
      </w:r>
      <w:r w:rsidR="0029166F" w:rsidRPr="00F06923">
        <w:rPr>
          <w:rFonts w:ascii="Times New Roman" w:hAnsi="Times New Roman"/>
          <w:sz w:val="20"/>
          <w:szCs w:val="20"/>
        </w:rPr>
        <w:t xml:space="preserve"> in teachers’ IEP goal development. Conversely</w:t>
      </w:r>
      <w:r w:rsidRPr="00F06923">
        <w:rPr>
          <w:rFonts w:ascii="Times New Roman" w:hAnsi="Times New Roman"/>
          <w:sz w:val="20"/>
          <w:szCs w:val="20"/>
        </w:rPr>
        <w:t xml:space="preserve">, </w:t>
      </w:r>
      <w:r w:rsidR="0029166F" w:rsidRPr="00F06923">
        <w:rPr>
          <w:rFonts w:ascii="Times New Roman" w:hAnsi="Times New Roman"/>
          <w:sz w:val="20"/>
          <w:szCs w:val="20"/>
        </w:rPr>
        <w:t xml:space="preserve">mean </w:t>
      </w:r>
      <w:r w:rsidRPr="00F06923">
        <w:rPr>
          <w:rFonts w:ascii="Times New Roman" w:hAnsi="Times New Roman"/>
          <w:sz w:val="20"/>
          <w:szCs w:val="20"/>
        </w:rPr>
        <w:t>ratings</w:t>
      </w:r>
      <w:r w:rsidR="0029166F" w:rsidRPr="00F06923">
        <w:rPr>
          <w:rFonts w:ascii="Times New Roman" w:hAnsi="Times New Roman"/>
          <w:sz w:val="20"/>
          <w:szCs w:val="20"/>
        </w:rPr>
        <w:t xml:space="preserve"> </w:t>
      </w:r>
      <w:r w:rsidRPr="00F06923">
        <w:rPr>
          <w:rFonts w:ascii="Times New Roman" w:hAnsi="Times New Roman"/>
          <w:sz w:val="20"/>
          <w:szCs w:val="20"/>
        </w:rPr>
        <w:t>on the Present Level of Performance (0.6) and Educational Needs (0.6) dimensions were lower</w:t>
      </w:r>
      <w:r w:rsidR="0029166F" w:rsidRPr="00F06923">
        <w:rPr>
          <w:rFonts w:ascii="Times New Roman" w:hAnsi="Times New Roman"/>
          <w:sz w:val="20"/>
          <w:szCs w:val="20"/>
        </w:rPr>
        <w:t xml:space="preserve"> for academic-focus IEP goals</w:t>
      </w:r>
      <w:r w:rsidRPr="00F06923">
        <w:rPr>
          <w:rFonts w:ascii="Times New Roman" w:hAnsi="Times New Roman"/>
          <w:sz w:val="20"/>
          <w:szCs w:val="20"/>
        </w:rPr>
        <w:t xml:space="preserve">.  </w:t>
      </w:r>
      <w:r w:rsidR="0029166F" w:rsidRPr="00F06923">
        <w:rPr>
          <w:rFonts w:ascii="Times New Roman" w:hAnsi="Times New Roman"/>
          <w:sz w:val="20"/>
          <w:szCs w:val="20"/>
        </w:rPr>
        <w:t xml:space="preserve">In addition, a statistically </w:t>
      </w:r>
      <w:r w:rsidRPr="00F06923">
        <w:rPr>
          <w:rFonts w:ascii="Times New Roman" w:hAnsi="Times New Roman"/>
          <w:sz w:val="20"/>
          <w:szCs w:val="20"/>
        </w:rPr>
        <w:t>significant difference also was observed between elementary</w:t>
      </w:r>
      <w:r w:rsidR="0029166F" w:rsidRPr="00F06923">
        <w:rPr>
          <w:rFonts w:ascii="Times New Roman" w:hAnsi="Times New Roman"/>
          <w:sz w:val="20"/>
          <w:szCs w:val="20"/>
        </w:rPr>
        <w:t xml:space="preserve"> (1.6) and middle school student</w:t>
      </w:r>
      <w:r w:rsidRPr="00F06923">
        <w:rPr>
          <w:rFonts w:ascii="Times New Roman" w:hAnsi="Times New Roman"/>
          <w:sz w:val="20"/>
          <w:szCs w:val="20"/>
        </w:rPr>
        <w:t xml:space="preserve">s’ (1.3) mean </w:t>
      </w:r>
      <w:r w:rsidR="00562CBC" w:rsidRPr="00F06923">
        <w:rPr>
          <w:rFonts w:ascii="Times New Roman" w:hAnsi="Times New Roman"/>
          <w:sz w:val="20"/>
          <w:szCs w:val="20"/>
        </w:rPr>
        <w:t xml:space="preserve">Progress Monitoring </w:t>
      </w:r>
      <w:r w:rsidRPr="00F06923">
        <w:rPr>
          <w:rFonts w:ascii="Times New Roman" w:hAnsi="Times New Roman"/>
          <w:sz w:val="20"/>
          <w:szCs w:val="20"/>
        </w:rPr>
        <w:t>ratings on the</w:t>
      </w:r>
      <w:r w:rsidR="00562CBC" w:rsidRPr="00F06923">
        <w:rPr>
          <w:rFonts w:ascii="Times New Roman" w:hAnsi="Times New Roman"/>
          <w:sz w:val="20"/>
          <w:szCs w:val="20"/>
        </w:rPr>
        <w:t xml:space="preserve"> academic-focused IEP goals.</w:t>
      </w:r>
    </w:p>
    <w:p w:rsidR="00FB2723" w:rsidRPr="00F06923" w:rsidRDefault="00FB2723" w:rsidP="00E16B14">
      <w:pPr>
        <w:spacing w:after="0" w:line="240" w:lineRule="auto"/>
        <w:contextualSpacing/>
        <w:jc w:val="both"/>
        <w:rPr>
          <w:rFonts w:ascii="Times New Roman" w:hAnsi="Times New Roman"/>
          <w:sz w:val="20"/>
          <w:szCs w:val="20"/>
        </w:rPr>
      </w:pPr>
    </w:p>
    <w:p w:rsidR="00FB2723" w:rsidRPr="00C71B59" w:rsidRDefault="00C71B59" w:rsidP="00C71B59">
      <w:pPr>
        <w:spacing w:after="0" w:line="240" w:lineRule="auto"/>
        <w:contextualSpacing/>
        <w:jc w:val="center"/>
        <w:rPr>
          <w:rFonts w:ascii="Times New Roman" w:hAnsi="Times New Roman"/>
          <w:b/>
          <w:sz w:val="20"/>
          <w:szCs w:val="20"/>
        </w:rPr>
      </w:pPr>
      <w:proofErr w:type="gramStart"/>
      <w:r>
        <w:rPr>
          <w:rFonts w:ascii="Times New Roman" w:hAnsi="Times New Roman"/>
          <w:b/>
          <w:sz w:val="20"/>
          <w:szCs w:val="20"/>
        </w:rPr>
        <w:t>Table 1.</w:t>
      </w:r>
      <w:proofErr w:type="gramEnd"/>
      <w:r>
        <w:rPr>
          <w:rFonts w:ascii="Times New Roman" w:hAnsi="Times New Roman"/>
          <w:b/>
          <w:sz w:val="20"/>
          <w:szCs w:val="20"/>
        </w:rPr>
        <w:t xml:space="preserve"> </w:t>
      </w:r>
      <w:r w:rsidR="00FB2723" w:rsidRPr="00C71B59">
        <w:rPr>
          <w:rFonts w:ascii="Times New Roman" w:hAnsi="Times New Roman"/>
          <w:b/>
          <w:sz w:val="20"/>
          <w:szCs w:val="20"/>
        </w:rPr>
        <w:t>Descriptive Statistics for IEP Analysis Tool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99"/>
        <w:gridCol w:w="898"/>
        <w:gridCol w:w="1036"/>
        <w:gridCol w:w="1117"/>
        <w:gridCol w:w="1036"/>
        <w:gridCol w:w="956"/>
        <w:gridCol w:w="1195"/>
        <w:gridCol w:w="1124"/>
      </w:tblGrid>
      <w:tr w:rsidR="00FB2723" w:rsidRPr="00F06923" w:rsidTr="00C71B59">
        <w:trPr>
          <w:trHeight w:val="620"/>
        </w:trPr>
        <w:tc>
          <w:tcPr>
            <w:tcW w:w="650"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i/>
                <w:sz w:val="20"/>
                <w:szCs w:val="20"/>
              </w:rPr>
            </w:pPr>
          </w:p>
        </w:tc>
        <w:tc>
          <w:tcPr>
            <w:tcW w:w="1803" w:type="pct"/>
            <w:gridSpan w:val="3"/>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IEP Goals</w:t>
            </w:r>
          </w:p>
        </w:tc>
        <w:tc>
          <w:tcPr>
            <w:tcW w:w="2547" w:type="pct"/>
            <w:gridSpan w:val="4"/>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Academic-Focused IEP Goals</w:t>
            </w:r>
          </w:p>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IEP Analysis Ratings</w:t>
            </w:r>
          </w:p>
        </w:tc>
      </w:tr>
      <w:tr w:rsidR="00FB2723" w:rsidRPr="00F06923" w:rsidTr="00C71B59">
        <w:trPr>
          <w:trHeight w:val="800"/>
        </w:trPr>
        <w:tc>
          <w:tcPr>
            <w:tcW w:w="650"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Grade Band</w:t>
            </w:r>
          </w:p>
        </w:tc>
        <w:tc>
          <w:tcPr>
            <w:tcW w:w="531"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Total</w:t>
            </w:r>
          </w:p>
          <w:p w:rsidR="00FB2723" w:rsidRPr="00F06923" w:rsidRDefault="00FB2723" w:rsidP="00E16B14">
            <w:pPr>
              <w:spacing w:after="0" w:line="240" w:lineRule="auto"/>
              <w:contextualSpacing/>
              <w:jc w:val="both"/>
              <w:rPr>
                <w:rFonts w:ascii="Times New Roman" w:hAnsi="Times New Roman"/>
                <w:i/>
                <w:sz w:val="20"/>
                <w:szCs w:val="20"/>
              </w:rPr>
            </w:pPr>
            <w:r w:rsidRPr="00F06923">
              <w:rPr>
                <w:rFonts w:ascii="Times New Roman" w:hAnsi="Times New Roman"/>
                <w:i/>
                <w:sz w:val="20"/>
                <w:szCs w:val="20"/>
              </w:rPr>
              <w:t>M (SD)</w:t>
            </w:r>
          </w:p>
        </w:tc>
        <w:tc>
          <w:tcPr>
            <w:tcW w:w="612"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Academic-Focused</w:t>
            </w:r>
          </w:p>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i/>
                <w:sz w:val="20"/>
                <w:szCs w:val="20"/>
              </w:rPr>
              <w:t>M (SD)</w:t>
            </w:r>
          </w:p>
        </w:tc>
        <w:tc>
          <w:tcPr>
            <w:tcW w:w="659"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Percent Academic-Focused*</w:t>
            </w:r>
          </w:p>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i/>
                <w:sz w:val="20"/>
                <w:szCs w:val="20"/>
              </w:rPr>
              <w:t>M (SD)</w:t>
            </w:r>
          </w:p>
        </w:tc>
        <w:tc>
          <w:tcPr>
            <w:tcW w:w="612"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Curricular Access</w:t>
            </w:r>
          </w:p>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i/>
                <w:sz w:val="20"/>
                <w:szCs w:val="20"/>
              </w:rPr>
              <w:t>M (SD)</w:t>
            </w:r>
          </w:p>
        </w:tc>
        <w:tc>
          <w:tcPr>
            <w:tcW w:w="565"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PLOP</w:t>
            </w:r>
          </w:p>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i/>
                <w:sz w:val="20"/>
                <w:szCs w:val="20"/>
              </w:rPr>
              <w:t>M (SD)</w:t>
            </w:r>
          </w:p>
        </w:tc>
        <w:tc>
          <w:tcPr>
            <w:tcW w:w="706" w:type="pct"/>
            <w:tcBorders>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Educational Needs</w:t>
            </w:r>
          </w:p>
          <w:p w:rsidR="00FB2723" w:rsidRPr="00F06923" w:rsidRDefault="00FB2723" w:rsidP="00E16B14">
            <w:pPr>
              <w:spacing w:after="0" w:line="240" w:lineRule="auto"/>
              <w:contextualSpacing/>
              <w:jc w:val="both"/>
              <w:rPr>
                <w:rFonts w:ascii="Times New Roman" w:hAnsi="Times New Roman"/>
                <w:b/>
                <w:sz w:val="20"/>
                <w:szCs w:val="20"/>
              </w:rPr>
            </w:pPr>
            <w:r w:rsidRPr="00F06923">
              <w:rPr>
                <w:rFonts w:ascii="Times New Roman" w:hAnsi="Times New Roman"/>
                <w:i/>
                <w:sz w:val="20"/>
                <w:szCs w:val="20"/>
              </w:rPr>
              <w:t>M (SD)</w:t>
            </w:r>
          </w:p>
        </w:tc>
        <w:tc>
          <w:tcPr>
            <w:tcW w:w="663" w:type="pct"/>
            <w:tcBorders>
              <w:left w:val="single" w:sz="4" w:space="0" w:color="FFFFFF"/>
              <w:right w:val="single" w:sz="4" w:space="0" w:color="FFFFFF"/>
            </w:tcBorders>
            <w:shd w:val="clear" w:color="auto" w:fill="auto"/>
            <w:vAlign w:val="bottom"/>
          </w:tcPr>
          <w:p w:rsidR="00FB2723"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Progress Monitoring</w:t>
            </w:r>
          </w:p>
          <w:p w:rsidR="00FB2723" w:rsidRPr="00F06923" w:rsidRDefault="00FB2723" w:rsidP="00E16B14">
            <w:pPr>
              <w:spacing w:after="0" w:line="240" w:lineRule="auto"/>
              <w:contextualSpacing/>
              <w:jc w:val="both"/>
              <w:rPr>
                <w:rFonts w:ascii="Times New Roman" w:hAnsi="Times New Roman"/>
                <w:i/>
                <w:sz w:val="20"/>
                <w:szCs w:val="20"/>
              </w:rPr>
            </w:pPr>
            <w:r w:rsidRPr="00F06923">
              <w:rPr>
                <w:rFonts w:ascii="Times New Roman" w:hAnsi="Times New Roman"/>
                <w:i/>
                <w:sz w:val="20"/>
                <w:szCs w:val="20"/>
              </w:rPr>
              <w:t>M (SD)</w:t>
            </w:r>
            <w:r w:rsidR="00CD5741" w:rsidRPr="00F06923">
              <w:rPr>
                <w:rFonts w:ascii="Times New Roman" w:hAnsi="Times New Roman"/>
                <w:sz w:val="20"/>
                <w:szCs w:val="20"/>
              </w:rPr>
              <w:t xml:space="preserve"> *</w:t>
            </w:r>
          </w:p>
        </w:tc>
      </w:tr>
      <w:tr w:rsidR="00FB2723" w:rsidRPr="00F06923" w:rsidTr="00C71B59">
        <w:trPr>
          <w:trHeight w:val="809"/>
        </w:trPr>
        <w:tc>
          <w:tcPr>
            <w:tcW w:w="650" w:type="pct"/>
            <w:tcBorders>
              <w:left w:val="single" w:sz="4" w:space="0" w:color="FFFFFF"/>
              <w:bottom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Elementary</w:t>
            </w:r>
          </w:p>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i/>
                <w:sz w:val="20"/>
                <w:szCs w:val="20"/>
              </w:rPr>
              <w:t>(n = 76)</w:t>
            </w:r>
          </w:p>
        </w:tc>
        <w:tc>
          <w:tcPr>
            <w:tcW w:w="531" w:type="pct"/>
            <w:tcBorders>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3.5 (2.2)</w:t>
            </w:r>
          </w:p>
        </w:tc>
        <w:tc>
          <w:tcPr>
            <w:tcW w:w="612" w:type="pct"/>
            <w:tcBorders>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2.6 (1.8)</w:t>
            </w:r>
          </w:p>
        </w:tc>
        <w:tc>
          <w:tcPr>
            <w:tcW w:w="659" w:type="pct"/>
            <w:tcBorders>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79.0 (28.6)</w:t>
            </w:r>
          </w:p>
        </w:tc>
        <w:tc>
          <w:tcPr>
            <w:tcW w:w="612" w:type="pct"/>
            <w:tcBorders>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1.6 (0.7)</w:t>
            </w:r>
          </w:p>
        </w:tc>
        <w:tc>
          <w:tcPr>
            <w:tcW w:w="565" w:type="pct"/>
            <w:tcBorders>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0.6 (0.7)</w:t>
            </w:r>
          </w:p>
        </w:tc>
        <w:tc>
          <w:tcPr>
            <w:tcW w:w="706" w:type="pct"/>
            <w:tcBorders>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0.7 (0.6)</w:t>
            </w:r>
          </w:p>
        </w:tc>
        <w:tc>
          <w:tcPr>
            <w:tcW w:w="663" w:type="pct"/>
            <w:tcBorders>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1.6 (0.6)</w:t>
            </w:r>
          </w:p>
        </w:tc>
      </w:tr>
      <w:tr w:rsidR="00FB2723" w:rsidRPr="00F06923" w:rsidTr="00C71B59">
        <w:trPr>
          <w:trHeight w:val="572"/>
        </w:trPr>
        <w:tc>
          <w:tcPr>
            <w:tcW w:w="650" w:type="pct"/>
            <w:tcBorders>
              <w:top w:val="single" w:sz="4" w:space="0" w:color="FFFFFF"/>
              <w:left w:val="single" w:sz="4" w:space="0" w:color="FFFFFF"/>
              <w:bottom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Middle School</w:t>
            </w:r>
          </w:p>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i/>
                <w:sz w:val="20"/>
                <w:szCs w:val="20"/>
              </w:rPr>
              <w:t>(n = 54)</w:t>
            </w:r>
          </w:p>
        </w:tc>
        <w:tc>
          <w:tcPr>
            <w:tcW w:w="531" w:type="pct"/>
            <w:tcBorders>
              <w:top w:val="single" w:sz="4" w:space="0" w:color="FFFFFF"/>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3.4 (1.5)</w:t>
            </w:r>
          </w:p>
        </w:tc>
        <w:tc>
          <w:tcPr>
            <w:tcW w:w="612" w:type="pct"/>
            <w:tcBorders>
              <w:top w:val="single" w:sz="4" w:space="0" w:color="FFFFFF"/>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2.3 (1.3)</w:t>
            </w:r>
          </w:p>
        </w:tc>
        <w:tc>
          <w:tcPr>
            <w:tcW w:w="659" w:type="pct"/>
            <w:tcBorders>
              <w:top w:val="single" w:sz="4" w:space="0" w:color="FFFFFF"/>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64.3 (31.6)</w:t>
            </w:r>
          </w:p>
        </w:tc>
        <w:tc>
          <w:tcPr>
            <w:tcW w:w="612" w:type="pct"/>
            <w:tcBorders>
              <w:top w:val="single" w:sz="4" w:space="0" w:color="FFFFFF"/>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1.6 (0.8)</w:t>
            </w:r>
          </w:p>
        </w:tc>
        <w:tc>
          <w:tcPr>
            <w:tcW w:w="565" w:type="pct"/>
            <w:tcBorders>
              <w:top w:val="single" w:sz="4" w:space="0" w:color="FFFFFF"/>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0.5 (0.7)</w:t>
            </w:r>
          </w:p>
        </w:tc>
        <w:tc>
          <w:tcPr>
            <w:tcW w:w="706" w:type="pct"/>
            <w:tcBorders>
              <w:top w:val="single" w:sz="4" w:space="0" w:color="FFFFFF"/>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0.6 (0.6)</w:t>
            </w:r>
          </w:p>
        </w:tc>
        <w:tc>
          <w:tcPr>
            <w:tcW w:w="663" w:type="pct"/>
            <w:tcBorders>
              <w:top w:val="single" w:sz="4" w:space="0" w:color="FFFFFF"/>
              <w:left w:val="single" w:sz="4" w:space="0" w:color="FFFFFF"/>
              <w:bottom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1.3 (0.8)</w:t>
            </w:r>
          </w:p>
        </w:tc>
      </w:tr>
      <w:tr w:rsidR="00FB2723" w:rsidRPr="00F06923" w:rsidTr="00C71B59">
        <w:trPr>
          <w:trHeight w:val="572"/>
        </w:trPr>
        <w:tc>
          <w:tcPr>
            <w:tcW w:w="650" w:type="pct"/>
            <w:tcBorders>
              <w:top w:val="single" w:sz="4" w:space="0" w:color="FFFFFF"/>
              <w:left w:val="single" w:sz="4" w:space="0" w:color="FFFFFF"/>
              <w:right w:val="single" w:sz="4" w:space="0" w:color="FFFFFF"/>
            </w:tcBorders>
            <w:shd w:val="clear" w:color="auto" w:fill="auto"/>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Total</w:t>
            </w:r>
          </w:p>
          <w:p w:rsidR="00FB2723" w:rsidRPr="00F06923" w:rsidRDefault="00FB2723" w:rsidP="00E16B14">
            <w:pPr>
              <w:spacing w:after="0" w:line="240" w:lineRule="auto"/>
              <w:contextualSpacing/>
              <w:jc w:val="both"/>
              <w:rPr>
                <w:rFonts w:ascii="Times New Roman" w:hAnsi="Times New Roman"/>
                <w:i/>
                <w:sz w:val="20"/>
                <w:szCs w:val="20"/>
              </w:rPr>
            </w:pPr>
            <w:r w:rsidRPr="00F06923">
              <w:rPr>
                <w:rFonts w:ascii="Times New Roman" w:hAnsi="Times New Roman"/>
                <w:i/>
                <w:sz w:val="20"/>
                <w:szCs w:val="20"/>
              </w:rPr>
              <w:t>(N = 130)</w:t>
            </w:r>
          </w:p>
        </w:tc>
        <w:tc>
          <w:tcPr>
            <w:tcW w:w="531" w:type="pct"/>
            <w:tcBorders>
              <w:top w:val="single" w:sz="4" w:space="0" w:color="FFFFFF"/>
              <w:left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3.5 (2.0)</w:t>
            </w:r>
          </w:p>
        </w:tc>
        <w:tc>
          <w:tcPr>
            <w:tcW w:w="612" w:type="pct"/>
            <w:tcBorders>
              <w:top w:val="single" w:sz="4" w:space="0" w:color="FFFFFF"/>
              <w:left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2.5 (1.6)</w:t>
            </w:r>
          </w:p>
        </w:tc>
        <w:tc>
          <w:tcPr>
            <w:tcW w:w="659" w:type="pct"/>
            <w:tcBorders>
              <w:top w:val="single" w:sz="4" w:space="0" w:color="FFFFFF"/>
              <w:left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73.0 (30.6)</w:t>
            </w:r>
          </w:p>
        </w:tc>
        <w:tc>
          <w:tcPr>
            <w:tcW w:w="612" w:type="pct"/>
            <w:tcBorders>
              <w:top w:val="single" w:sz="4" w:space="0" w:color="FFFFFF"/>
              <w:left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1.6 (0.7)</w:t>
            </w:r>
          </w:p>
        </w:tc>
        <w:tc>
          <w:tcPr>
            <w:tcW w:w="565" w:type="pct"/>
            <w:tcBorders>
              <w:top w:val="single" w:sz="4" w:space="0" w:color="FFFFFF"/>
              <w:left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0.6 (0.7)</w:t>
            </w:r>
          </w:p>
        </w:tc>
        <w:tc>
          <w:tcPr>
            <w:tcW w:w="706" w:type="pct"/>
            <w:tcBorders>
              <w:top w:val="single" w:sz="4" w:space="0" w:color="FFFFFF"/>
              <w:left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0.6 (0.6)</w:t>
            </w:r>
          </w:p>
        </w:tc>
        <w:tc>
          <w:tcPr>
            <w:tcW w:w="663" w:type="pct"/>
            <w:tcBorders>
              <w:top w:val="single" w:sz="4" w:space="0" w:color="FFFFFF"/>
              <w:left w:val="single" w:sz="4" w:space="0" w:color="FFFFFF"/>
              <w:right w:val="single" w:sz="4" w:space="0" w:color="FFFFFF"/>
            </w:tcBorders>
            <w:vAlign w:val="bottom"/>
          </w:tcPr>
          <w:p w:rsidR="00FB2723" w:rsidRPr="00F06923" w:rsidRDefault="00FB2723"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1.4 (0.7)</w:t>
            </w:r>
          </w:p>
        </w:tc>
      </w:tr>
    </w:tbl>
    <w:p w:rsidR="00FB2723" w:rsidRPr="00C71B59" w:rsidRDefault="00FB2723" w:rsidP="00E16B14">
      <w:pPr>
        <w:spacing w:after="0" w:line="240" w:lineRule="auto"/>
        <w:contextualSpacing/>
        <w:jc w:val="both"/>
        <w:rPr>
          <w:rFonts w:ascii="Times New Roman" w:hAnsi="Times New Roman"/>
          <w:sz w:val="16"/>
          <w:szCs w:val="16"/>
        </w:rPr>
      </w:pPr>
      <w:r w:rsidRPr="00C71B59">
        <w:rPr>
          <w:rFonts w:ascii="Times New Roman" w:hAnsi="Times New Roman"/>
          <w:sz w:val="16"/>
          <w:szCs w:val="16"/>
        </w:rPr>
        <w:t xml:space="preserve">* </w:t>
      </w:r>
      <w:proofErr w:type="gramStart"/>
      <w:r w:rsidRPr="00C71B59">
        <w:rPr>
          <w:rFonts w:ascii="Times New Roman" w:hAnsi="Times New Roman"/>
          <w:sz w:val="16"/>
          <w:szCs w:val="16"/>
        </w:rPr>
        <w:t>p</w:t>
      </w:r>
      <w:proofErr w:type="gramEnd"/>
      <w:r w:rsidRPr="00C71B59">
        <w:rPr>
          <w:rFonts w:ascii="Times New Roman" w:hAnsi="Times New Roman"/>
          <w:sz w:val="16"/>
          <w:szCs w:val="16"/>
        </w:rPr>
        <w:t xml:space="preserve"> &lt; .05</w:t>
      </w:r>
    </w:p>
    <w:p w:rsidR="00CD5741" w:rsidRPr="00F06923" w:rsidRDefault="00CD5741" w:rsidP="00E16B14">
      <w:pPr>
        <w:spacing w:after="0" w:line="240" w:lineRule="auto"/>
        <w:contextualSpacing/>
        <w:jc w:val="both"/>
        <w:rPr>
          <w:rFonts w:ascii="Times New Roman" w:hAnsi="Times New Roman"/>
          <w:sz w:val="20"/>
          <w:szCs w:val="20"/>
        </w:rPr>
      </w:pPr>
    </w:p>
    <w:p w:rsidR="00CD5741" w:rsidRPr="00F06923" w:rsidRDefault="00CD5741" w:rsidP="00B00DF3">
      <w:pPr>
        <w:spacing w:after="0" w:line="240" w:lineRule="auto"/>
        <w:contextualSpacing/>
        <w:jc w:val="both"/>
        <w:rPr>
          <w:rFonts w:ascii="Times New Roman" w:hAnsi="Times New Roman"/>
          <w:sz w:val="20"/>
          <w:szCs w:val="20"/>
        </w:rPr>
      </w:pPr>
      <w:r w:rsidRPr="00F06923">
        <w:rPr>
          <w:rFonts w:ascii="Times New Roman" w:hAnsi="Times New Roman"/>
          <w:sz w:val="20"/>
          <w:szCs w:val="20"/>
        </w:rPr>
        <w:t xml:space="preserve">Descriptive statistics (means and standard deviations) were calculated for the CIS results (table 2) for the entire sample and for each grade band (i.e., elementary and middle school).  </w:t>
      </w:r>
      <w:r w:rsidR="00BC6DBD" w:rsidRPr="00F06923">
        <w:rPr>
          <w:rFonts w:ascii="Times New Roman" w:hAnsi="Times New Roman"/>
          <w:sz w:val="20"/>
          <w:szCs w:val="20"/>
        </w:rPr>
        <w:t xml:space="preserve">The CIS also required teachers to identify the </w:t>
      </w:r>
      <w:r w:rsidR="00B12899" w:rsidRPr="00F06923">
        <w:rPr>
          <w:rFonts w:ascii="Times New Roman" w:hAnsi="Times New Roman"/>
          <w:sz w:val="20"/>
          <w:szCs w:val="20"/>
        </w:rPr>
        <w:t xml:space="preserve">intensity of instructional </w:t>
      </w:r>
      <w:r w:rsidR="00562CBC" w:rsidRPr="00F06923">
        <w:rPr>
          <w:rFonts w:ascii="Times New Roman" w:hAnsi="Times New Roman"/>
          <w:sz w:val="20"/>
          <w:szCs w:val="20"/>
        </w:rPr>
        <w:t>coverage</w:t>
      </w:r>
      <w:r w:rsidR="00BC6DBD" w:rsidRPr="00F06923">
        <w:rPr>
          <w:rFonts w:ascii="Times New Roman" w:hAnsi="Times New Roman"/>
          <w:sz w:val="20"/>
          <w:szCs w:val="20"/>
        </w:rPr>
        <w:t xml:space="preserve"> for a series of </w:t>
      </w:r>
      <w:r w:rsidR="004C31A2" w:rsidRPr="00F06923">
        <w:rPr>
          <w:rFonts w:ascii="Times New Roman" w:hAnsi="Times New Roman"/>
          <w:sz w:val="20"/>
          <w:szCs w:val="20"/>
        </w:rPr>
        <w:t xml:space="preserve">27 </w:t>
      </w:r>
      <w:r w:rsidR="00BC6DBD" w:rsidRPr="00F06923">
        <w:rPr>
          <w:rFonts w:ascii="Times New Roman" w:hAnsi="Times New Roman"/>
          <w:sz w:val="20"/>
          <w:szCs w:val="20"/>
        </w:rPr>
        <w:t>concepts and s</w:t>
      </w:r>
      <w:r w:rsidR="004C31A2" w:rsidRPr="00F06923">
        <w:rPr>
          <w:rFonts w:ascii="Times New Roman" w:hAnsi="Times New Roman"/>
          <w:sz w:val="20"/>
          <w:szCs w:val="20"/>
        </w:rPr>
        <w:t xml:space="preserve">kills Language Arts (including Oral Language, </w:t>
      </w:r>
      <w:r w:rsidR="00BC6DBD" w:rsidRPr="00F06923">
        <w:rPr>
          <w:rFonts w:ascii="Times New Roman" w:hAnsi="Times New Roman"/>
          <w:sz w:val="20"/>
          <w:szCs w:val="20"/>
        </w:rPr>
        <w:t>Reading, Writing, and Media</w:t>
      </w:r>
      <w:r w:rsidR="004C31A2" w:rsidRPr="00F06923">
        <w:rPr>
          <w:rFonts w:ascii="Times New Roman" w:hAnsi="Times New Roman"/>
          <w:sz w:val="20"/>
          <w:szCs w:val="20"/>
        </w:rPr>
        <w:t>)</w:t>
      </w:r>
      <w:r w:rsidR="00BC6DBD" w:rsidRPr="00F06923">
        <w:rPr>
          <w:rFonts w:ascii="Times New Roman" w:hAnsi="Times New Roman"/>
          <w:sz w:val="20"/>
          <w:szCs w:val="20"/>
        </w:rPr>
        <w:t xml:space="preserve">. </w:t>
      </w:r>
      <w:r w:rsidR="004C31A2" w:rsidRPr="00F06923">
        <w:rPr>
          <w:rFonts w:ascii="Times New Roman" w:hAnsi="Times New Roman"/>
          <w:sz w:val="20"/>
          <w:szCs w:val="20"/>
        </w:rPr>
        <w:t xml:space="preserve"> Intensity of coverage was rated on a </w:t>
      </w:r>
      <w:r w:rsidR="005C7EDB">
        <w:rPr>
          <w:rFonts w:ascii="Times New Roman" w:hAnsi="Times New Roman"/>
          <w:sz w:val="20"/>
          <w:szCs w:val="20"/>
        </w:rPr>
        <w:t xml:space="preserve">four point scale, ranging from </w:t>
      </w:r>
      <w:r w:rsidR="004C31A2" w:rsidRPr="005C7EDB">
        <w:rPr>
          <w:rFonts w:ascii="Times New Roman" w:hAnsi="Times New Roman"/>
          <w:i/>
          <w:sz w:val="20"/>
          <w:szCs w:val="20"/>
        </w:rPr>
        <w:t>0 = no coverage (not an expectation for this topic this school year)</w:t>
      </w:r>
      <w:r w:rsidR="005C7EDB">
        <w:rPr>
          <w:rFonts w:ascii="Times New Roman" w:hAnsi="Times New Roman"/>
          <w:i/>
          <w:sz w:val="20"/>
          <w:szCs w:val="20"/>
        </w:rPr>
        <w:t xml:space="preserve"> </w:t>
      </w:r>
      <w:r w:rsidR="004C31A2" w:rsidRPr="005C7EDB">
        <w:rPr>
          <w:rFonts w:ascii="Times New Roman" w:hAnsi="Times New Roman"/>
          <w:sz w:val="20"/>
          <w:szCs w:val="20"/>
        </w:rPr>
        <w:t xml:space="preserve">to </w:t>
      </w:r>
      <w:r w:rsidR="004C31A2" w:rsidRPr="005C7EDB">
        <w:rPr>
          <w:rFonts w:ascii="Times New Roman" w:hAnsi="Times New Roman"/>
          <w:i/>
          <w:sz w:val="20"/>
          <w:szCs w:val="20"/>
        </w:rPr>
        <w:t>4 = intensive/systematic coverage (daily or almost daily instruction throughout the year)</w:t>
      </w:r>
      <w:r w:rsidR="00E03CAD" w:rsidRPr="005C7EDB">
        <w:rPr>
          <w:rFonts w:ascii="Times New Roman" w:hAnsi="Times New Roman"/>
          <w:i/>
          <w:sz w:val="20"/>
          <w:szCs w:val="20"/>
        </w:rPr>
        <w:t>.</w:t>
      </w:r>
      <w:r w:rsidR="00E03CAD" w:rsidRPr="00F06923">
        <w:rPr>
          <w:rFonts w:ascii="Times New Roman" w:hAnsi="Times New Roman"/>
          <w:sz w:val="20"/>
          <w:szCs w:val="20"/>
        </w:rPr>
        <w:t xml:space="preserve">  </w:t>
      </w:r>
      <w:r w:rsidR="00BC6DBD" w:rsidRPr="00F06923">
        <w:rPr>
          <w:rFonts w:ascii="Times New Roman" w:hAnsi="Times New Roman"/>
          <w:sz w:val="20"/>
          <w:szCs w:val="20"/>
        </w:rPr>
        <w:t>The m</w:t>
      </w:r>
      <w:r w:rsidR="00FA583F" w:rsidRPr="00F06923">
        <w:rPr>
          <w:rFonts w:ascii="Times New Roman" w:hAnsi="Times New Roman"/>
          <w:sz w:val="20"/>
          <w:szCs w:val="20"/>
        </w:rPr>
        <w:t xml:space="preserve">ean total </w:t>
      </w:r>
      <w:r w:rsidR="00FA583F" w:rsidRPr="00F06923">
        <w:rPr>
          <w:rFonts w:ascii="Times New Roman" w:hAnsi="Times New Roman"/>
          <w:sz w:val="20"/>
          <w:szCs w:val="20"/>
        </w:rPr>
        <w:lastRenderedPageBreak/>
        <w:t xml:space="preserve">Intensity of Coverage rating for Language Arts skills and concepts </w:t>
      </w:r>
      <w:r w:rsidR="00BC6DBD" w:rsidRPr="00F06923">
        <w:rPr>
          <w:rFonts w:ascii="Times New Roman" w:hAnsi="Times New Roman"/>
          <w:sz w:val="20"/>
          <w:szCs w:val="20"/>
        </w:rPr>
        <w:t xml:space="preserve">was </w:t>
      </w:r>
      <w:r w:rsidR="00FA583F" w:rsidRPr="00F06923">
        <w:rPr>
          <w:rFonts w:ascii="Times New Roman" w:hAnsi="Times New Roman"/>
          <w:sz w:val="20"/>
          <w:szCs w:val="20"/>
        </w:rPr>
        <w:t>2.23, which indicates that</w:t>
      </w:r>
      <w:r w:rsidR="004F4D04" w:rsidRPr="00F06923">
        <w:rPr>
          <w:rFonts w:ascii="Times New Roman" w:hAnsi="Times New Roman"/>
          <w:sz w:val="20"/>
          <w:szCs w:val="20"/>
        </w:rPr>
        <w:t xml:space="preserve"> the rated</w:t>
      </w:r>
      <w:r w:rsidR="00FA583F" w:rsidRPr="00F06923">
        <w:rPr>
          <w:rFonts w:ascii="Times New Roman" w:hAnsi="Times New Roman"/>
          <w:sz w:val="20"/>
          <w:szCs w:val="20"/>
        </w:rPr>
        <w:t xml:space="preserve"> topics generally received </w:t>
      </w:r>
      <w:r w:rsidR="00FA583F" w:rsidRPr="005C7EDB">
        <w:rPr>
          <w:rFonts w:ascii="Times New Roman" w:hAnsi="Times New Roman"/>
          <w:i/>
          <w:sz w:val="20"/>
          <w:szCs w:val="20"/>
        </w:rPr>
        <w:t>moderate coverage (11-20 lessons over the course of the year).</w:t>
      </w:r>
      <w:r w:rsidR="004F4D04" w:rsidRPr="00F06923">
        <w:rPr>
          <w:rFonts w:ascii="Times New Roman" w:hAnsi="Times New Roman"/>
          <w:sz w:val="20"/>
          <w:szCs w:val="20"/>
        </w:rPr>
        <w:t xml:space="preserve"> </w:t>
      </w:r>
      <w:r w:rsidR="00711FF6" w:rsidRPr="00F06923">
        <w:rPr>
          <w:rFonts w:ascii="Times New Roman" w:hAnsi="Times New Roman"/>
          <w:sz w:val="20"/>
          <w:szCs w:val="20"/>
        </w:rPr>
        <w:t>In addition, t</w:t>
      </w:r>
      <w:r w:rsidR="00BC6DBD" w:rsidRPr="00F06923">
        <w:rPr>
          <w:rFonts w:ascii="Times New Roman" w:hAnsi="Times New Roman"/>
          <w:sz w:val="20"/>
          <w:szCs w:val="20"/>
        </w:rPr>
        <w:t>he CIS asked teachers to report the amount of time spent on a series of</w:t>
      </w:r>
      <w:r w:rsidR="004C31A2" w:rsidRPr="00F06923">
        <w:rPr>
          <w:rFonts w:ascii="Times New Roman" w:hAnsi="Times New Roman"/>
          <w:sz w:val="20"/>
          <w:szCs w:val="20"/>
        </w:rPr>
        <w:t xml:space="preserve"> 18 Language Arts</w:t>
      </w:r>
      <w:r w:rsidR="00BC6DBD" w:rsidRPr="00F06923">
        <w:rPr>
          <w:rFonts w:ascii="Times New Roman" w:hAnsi="Times New Roman"/>
          <w:sz w:val="20"/>
          <w:szCs w:val="20"/>
        </w:rPr>
        <w:t xml:space="preserve"> instructional activities</w:t>
      </w:r>
      <w:r w:rsidR="004C31A2" w:rsidRPr="00F06923">
        <w:rPr>
          <w:rFonts w:ascii="Times New Roman" w:hAnsi="Times New Roman"/>
          <w:sz w:val="20"/>
          <w:szCs w:val="20"/>
        </w:rPr>
        <w:t xml:space="preserve"> (e.g., engaging in read aloud activities, engaging in the writing process)</w:t>
      </w:r>
      <w:r w:rsidR="00BC6DBD" w:rsidRPr="00F06923">
        <w:rPr>
          <w:rFonts w:ascii="Times New Roman" w:hAnsi="Times New Roman"/>
          <w:sz w:val="20"/>
          <w:szCs w:val="20"/>
        </w:rPr>
        <w:t xml:space="preserve"> as well as level of student participation in each of these activities. Instructional time ratings ranged from </w:t>
      </w:r>
      <w:r w:rsidR="00BC6DBD" w:rsidRPr="005C7EDB">
        <w:rPr>
          <w:rFonts w:ascii="Times New Roman" w:hAnsi="Times New Roman"/>
          <w:i/>
          <w:sz w:val="20"/>
          <w:szCs w:val="20"/>
        </w:rPr>
        <w:t>0 = none</w:t>
      </w:r>
      <w:r w:rsidR="005C7EDB">
        <w:rPr>
          <w:rFonts w:ascii="Times New Roman" w:hAnsi="Times New Roman"/>
          <w:sz w:val="20"/>
          <w:szCs w:val="20"/>
        </w:rPr>
        <w:t xml:space="preserve"> </w:t>
      </w:r>
      <w:r w:rsidR="00BC6DBD" w:rsidRPr="00F06923">
        <w:rPr>
          <w:rFonts w:ascii="Times New Roman" w:hAnsi="Times New Roman"/>
          <w:sz w:val="20"/>
          <w:szCs w:val="20"/>
        </w:rPr>
        <w:t xml:space="preserve">to </w:t>
      </w:r>
      <w:r w:rsidR="00BC6DBD" w:rsidRPr="005C7EDB">
        <w:rPr>
          <w:rFonts w:ascii="Times New Roman" w:hAnsi="Times New Roman"/>
          <w:i/>
          <w:sz w:val="20"/>
          <w:szCs w:val="20"/>
        </w:rPr>
        <w:t>4 = Considerable, 8 or more hours/week.</w:t>
      </w:r>
      <w:r w:rsidR="00BC6DBD" w:rsidRPr="00F06923">
        <w:rPr>
          <w:rFonts w:ascii="Times New Roman" w:hAnsi="Times New Roman"/>
          <w:sz w:val="20"/>
          <w:szCs w:val="20"/>
        </w:rPr>
        <w:t xml:space="preserve">  The mean rating</w:t>
      </w:r>
      <w:r w:rsidR="004C31A2" w:rsidRPr="00F06923">
        <w:rPr>
          <w:rFonts w:ascii="Times New Roman" w:hAnsi="Times New Roman"/>
          <w:sz w:val="20"/>
          <w:szCs w:val="20"/>
        </w:rPr>
        <w:t xml:space="preserve"> </w:t>
      </w:r>
      <w:r w:rsidR="00BC6DBD" w:rsidRPr="00F06923">
        <w:rPr>
          <w:rFonts w:ascii="Times New Roman" w:hAnsi="Times New Roman"/>
          <w:sz w:val="20"/>
          <w:szCs w:val="20"/>
        </w:rPr>
        <w:t>for participating students’ time on instructional activities was 1.6</w:t>
      </w:r>
      <w:r w:rsidR="00B9697B" w:rsidRPr="00F06923">
        <w:rPr>
          <w:rFonts w:ascii="Times New Roman" w:hAnsi="Times New Roman"/>
          <w:sz w:val="20"/>
          <w:szCs w:val="20"/>
        </w:rPr>
        <w:t>3</w:t>
      </w:r>
      <w:r w:rsidR="00BC6DBD" w:rsidRPr="00F06923">
        <w:rPr>
          <w:rFonts w:ascii="Times New Roman" w:hAnsi="Times New Roman"/>
          <w:sz w:val="20"/>
          <w:szCs w:val="20"/>
        </w:rPr>
        <w:t xml:space="preserve">, which was between the </w:t>
      </w:r>
      <w:r w:rsidR="00BC6DBD" w:rsidRPr="005C7EDB">
        <w:rPr>
          <w:rFonts w:ascii="Times New Roman" w:hAnsi="Times New Roman"/>
          <w:i/>
          <w:sz w:val="20"/>
          <w:szCs w:val="20"/>
        </w:rPr>
        <w:t>little</w:t>
      </w:r>
      <w:r w:rsidR="00BC6DBD" w:rsidRPr="00F06923">
        <w:rPr>
          <w:rFonts w:ascii="Times New Roman" w:hAnsi="Times New Roman"/>
          <w:sz w:val="20"/>
          <w:szCs w:val="20"/>
        </w:rPr>
        <w:t xml:space="preserve"> (1 hour or less/week) and </w:t>
      </w:r>
      <w:r w:rsidR="00BC6DBD" w:rsidRPr="005C7EDB">
        <w:rPr>
          <w:rFonts w:ascii="Times New Roman" w:hAnsi="Times New Roman"/>
          <w:i/>
          <w:sz w:val="20"/>
          <w:szCs w:val="20"/>
        </w:rPr>
        <w:t>som</w:t>
      </w:r>
      <w:r w:rsidR="005C7EDB">
        <w:rPr>
          <w:rFonts w:ascii="Times New Roman" w:hAnsi="Times New Roman"/>
          <w:i/>
          <w:sz w:val="20"/>
          <w:szCs w:val="20"/>
        </w:rPr>
        <w:t>e</w:t>
      </w:r>
      <w:r w:rsidR="00BC6DBD" w:rsidRPr="00F06923">
        <w:rPr>
          <w:rFonts w:ascii="Times New Roman" w:hAnsi="Times New Roman"/>
          <w:sz w:val="20"/>
          <w:szCs w:val="20"/>
        </w:rPr>
        <w:t xml:space="preserve"> (2 to 4 hours/week) ratings.  </w:t>
      </w:r>
      <w:r w:rsidRPr="00F06923">
        <w:rPr>
          <w:rFonts w:ascii="Times New Roman" w:hAnsi="Times New Roman"/>
          <w:sz w:val="20"/>
          <w:szCs w:val="20"/>
        </w:rPr>
        <w:t xml:space="preserve">There was no significant difference between the mean CIS ratings across the two grade bands. Teachers reported that participating students spent approximately three-fourths of their time in general education contexts (table 2). Although the difference was not statistically significant, teachers did report that middle school students spent more time (77.3%) in general education contexts than elementary school students (69.6%). </w:t>
      </w:r>
      <w:r w:rsidRPr="00F06923">
        <w:rPr>
          <w:rFonts w:ascii="Times New Roman" w:hAnsi="Times New Roman"/>
          <w:sz w:val="20"/>
          <w:szCs w:val="20"/>
        </w:rPr>
        <w:tab/>
      </w:r>
    </w:p>
    <w:p w:rsidR="00CD5741" w:rsidRPr="00F06923" w:rsidRDefault="00CD5741" w:rsidP="00E16B14">
      <w:pPr>
        <w:spacing w:after="0" w:line="240" w:lineRule="auto"/>
        <w:contextualSpacing/>
        <w:jc w:val="both"/>
        <w:rPr>
          <w:rFonts w:ascii="Times New Roman" w:hAnsi="Times New Roman"/>
          <w:i/>
          <w:sz w:val="20"/>
          <w:szCs w:val="20"/>
        </w:rPr>
      </w:pPr>
    </w:p>
    <w:p w:rsidR="00CD5741" w:rsidRPr="00B00DF3" w:rsidRDefault="00B00DF3" w:rsidP="00B00DF3">
      <w:pPr>
        <w:spacing w:after="0" w:line="240" w:lineRule="auto"/>
        <w:contextualSpacing/>
        <w:jc w:val="center"/>
        <w:rPr>
          <w:rFonts w:ascii="Times New Roman" w:hAnsi="Times New Roman"/>
          <w:b/>
          <w:sz w:val="20"/>
          <w:szCs w:val="20"/>
        </w:rPr>
      </w:pPr>
      <w:proofErr w:type="gramStart"/>
      <w:r>
        <w:rPr>
          <w:rFonts w:ascii="Times New Roman" w:hAnsi="Times New Roman"/>
          <w:b/>
          <w:sz w:val="20"/>
          <w:szCs w:val="20"/>
        </w:rPr>
        <w:t>Table 2.</w:t>
      </w:r>
      <w:proofErr w:type="gramEnd"/>
      <w:r>
        <w:rPr>
          <w:rFonts w:ascii="Times New Roman" w:hAnsi="Times New Roman"/>
          <w:b/>
          <w:sz w:val="20"/>
          <w:szCs w:val="20"/>
        </w:rPr>
        <w:t xml:space="preserve"> </w:t>
      </w:r>
      <w:r w:rsidR="00CD5741" w:rsidRPr="00B00DF3">
        <w:rPr>
          <w:rFonts w:ascii="Times New Roman" w:hAnsi="Times New Roman"/>
          <w:b/>
          <w:sz w:val="20"/>
          <w:szCs w:val="20"/>
        </w:rPr>
        <w:t>Descriptive Statistics for Curricular Indicators Survey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951"/>
        <w:gridCol w:w="1440"/>
        <w:gridCol w:w="1916"/>
        <w:gridCol w:w="2154"/>
      </w:tblGrid>
      <w:tr w:rsidR="00CD5741" w:rsidRPr="00F06923" w:rsidTr="00B00DF3">
        <w:trPr>
          <w:trHeight w:val="867"/>
        </w:trPr>
        <w:tc>
          <w:tcPr>
            <w:tcW w:w="1744" w:type="pct"/>
            <w:tcBorders>
              <w:left w:val="single" w:sz="4" w:space="0" w:color="FFFFFF"/>
              <w:right w:val="single" w:sz="4" w:space="0" w:color="FFFFFF"/>
            </w:tcBorders>
            <w:shd w:val="clear" w:color="auto" w:fill="auto"/>
            <w:vAlign w:val="bottom"/>
          </w:tcPr>
          <w:p w:rsidR="00CD5741" w:rsidRPr="00F06923" w:rsidRDefault="00CD5741" w:rsidP="00B00DF3">
            <w:pPr>
              <w:spacing w:after="0" w:line="240" w:lineRule="auto"/>
              <w:contextualSpacing/>
              <w:rPr>
                <w:rFonts w:ascii="Times New Roman" w:hAnsi="Times New Roman"/>
                <w:i/>
                <w:sz w:val="20"/>
                <w:szCs w:val="20"/>
              </w:rPr>
            </w:pPr>
          </w:p>
        </w:tc>
        <w:tc>
          <w:tcPr>
            <w:tcW w:w="851" w:type="pct"/>
            <w:tcBorders>
              <w:left w:val="single" w:sz="4" w:space="0" w:color="FFFFFF"/>
              <w:right w:val="single" w:sz="4" w:space="0" w:color="FFFFFF"/>
            </w:tcBorders>
            <w:shd w:val="clear" w:color="auto" w:fill="auto"/>
            <w:vAlign w:val="bottom"/>
          </w:tcPr>
          <w:p w:rsidR="00CD5741" w:rsidRPr="00F06923" w:rsidRDefault="00CD5741" w:rsidP="00B00DF3">
            <w:pPr>
              <w:spacing w:after="0" w:line="240" w:lineRule="auto"/>
              <w:contextualSpacing/>
              <w:rPr>
                <w:rFonts w:ascii="Times New Roman" w:hAnsi="Times New Roman"/>
                <w:sz w:val="20"/>
                <w:szCs w:val="20"/>
              </w:rPr>
            </w:pPr>
          </w:p>
          <w:p w:rsidR="00CD5741" w:rsidRPr="00F06923" w:rsidRDefault="00CD5741" w:rsidP="00B00DF3">
            <w:pPr>
              <w:spacing w:after="0" w:line="240" w:lineRule="auto"/>
              <w:contextualSpacing/>
              <w:rPr>
                <w:rFonts w:ascii="Times New Roman" w:hAnsi="Times New Roman"/>
                <w:sz w:val="20"/>
                <w:szCs w:val="20"/>
              </w:rPr>
            </w:pPr>
            <w:r w:rsidRPr="00F06923">
              <w:rPr>
                <w:rFonts w:ascii="Times New Roman" w:hAnsi="Times New Roman"/>
                <w:sz w:val="20"/>
                <w:szCs w:val="20"/>
              </w:rPr>
              <w:t>CIS Intensity of Coverage</w:t>
            </w:r>
          </w:p>
          <w:p w:rsidR="00CD5741" w:rsidRPr="00F06923" w:rsidRDefault="00CD5741" w:rsidP="00B00DF3">
            <w:pPr>
              <w:spacing w:after="0" w:line="240" w:lineRule="auto"/>
              <w:contextualSpacing/>
              <w:rPr>
                <w:rFonts w:ascii="Times New Roman" w:hAnsi="Times New Roman"/>
                <w:i/>
                <w:sz w:val="20"/>
                <w:szCs w:val="20"/>
              </w:rPr>
            </w:pPr>
            <w:r w:rsidRPr="00F06923">
              <w:rPr>
                <w:rFonts w:ascii="Times New Roman" w:hAnsi="Times New Roman"/>
                <w:i/>
                <w:sz w:val="20"/>
                <w:szCs w:val="20"/>
              </w:rPr>
              <w:t>M (SD)</w:t>
            </w:r>
          </w:p>
        </w:tc>
        <w:tc>
          <w:tcPr>
            <w:tcW w:w="1132" w:type="pct"/>
            <w:tcBorders>
              <w:left w:val="single" w:sz="4" w:space="0" w:color="FFFFFF"/>
              <w:right w:val="single" w:sz="4" w:space="0" w:color="FFFFFF"/>
            </w:tcBorders>
            <w:shd w:val="clear" w:color="auto" w:fill="auto"/>
            <w:vAlign w:val="bottom"/>
          </w:tcPr>
          <w:p w:rsidR="00CD5741" w:rsidRPr="00F06923" w:rsidRDefault="00CD5741" w:rsidP="00B00DF3">
            <w:pPr>
              <w:spacing w:after="0" w:line="240" w:lineRule="auto"/>
              <w:contextualSpacing/>
              <w:rPr>
                <w:rFonts w:ascii="Times New Roman" w:hAnsi="Times New Roman"/>
                <w:sz w:val="20"/>
                <w:szCs w:val="20"/>
              </w:rPr>
            </w:pPr>
            <w:r w:rsidRPr="00F06923">
              <w:rPr>
                <w:rFonts w:ascii="Times New Roman" w:hAnsi="Times New Roman"/>
                <w:sz w:val="20"/>
                <w:szCs w:val="20"/>
              </w:rPr>
              <w:t>CIS Time on Instructional Activities</w:t>
            </w:r>
          </w:p>
          <w:p w:rsidR="00CD5741" w:rsidRPr="00F06923" w:rsidRDefault="00CD5741" w:rsidP="00B00DF3">
            <w:pPr>
              <w:spacing w:after="0" w:line="240" w:lineRule="auto"/>
              <w:contextualSpacing/>
              <w:rPr>
                <w:rFonts w:ascii="Times New Roman" w:hAnsi="Times New Roman"/>
                <w:i/>
                <w:sz w:val="20"/>
                <w:szCs w:val="20"/>
              </w:rPr>
            </w:pPr>
            <w:r w:rsidRPr="00F06923">
              <w:rPr>
                <w:rFonts w:ascii="Times New Roman" w:hAnsi="Times New Roman"/>
                <w:i/>
                <w:sz w:val="20"/>
                <w:szCs w:val="20"/>
              </w:rPr>
              <w:t>M (SD)</w:t>
            </w:r>
          </w:p>
        </w:tc>
        <w:tc>
          <w:tcPr>
            <w:tcW w:w="1273" w:type="pct"/>
            <w:tcBorders>
              <w:left w:val="single" w:sz="4" w:space="0" w:color="FFFFFF"/>
              <w:right w:val="single" w:sz="4" w:space="0" w:color="FFFFFF"/>
            </w:tcBorders>
            <w:shd w:val="clear" w:color="auto" w:fill="auto"/>
            <w:vAlign w:val="bottom"/>
          </w:tcPr>
          <w:p w:rsidR="00CD5741" w:rsidRPr="00F06923" w:rsidRDefault="00CD5741" w:rsidP="00B00DF3">
            <w:pPr>
              <w:spacing w:after="0" w:line="240" w:lineRule="auto"/>
              <w:contextualSpacing/>
              <w:rPr>
                <w:rFonts w:ascii="Times New Roman" w:hAnsi="Times New Roman"/>
                <w:sz w:val="20"/>
                <w:szCs w:val="20"/>
              </w:rPr>
            </w:pPr>
            <w:r w:rsidRPr="00F06923">
              <w:rPr>
                <w:rFonts w:ascii="Times New Roman" w:hAnsi="Times New Roman"/>
                <w:sz w:val="20"/>
                <w:szCs w:val="20"/>
              </w:rPr>
              <w:t>Percent Time in General Education</w:t>
            </w:r>
          </w:p>
          <w:p w:rsidR="00CD5741" w:rsidRPr="00F06923" w:rsidRDefault="00CD5741" w:rsidP="00B00DF3">
            <w:pPr>
              <w:spacing w:after="0" w:line="240" w:lineRule="auto"/>
              <w:contextualSpacing/>
              <w:rPr>
                <w:rFonts w:ascii="Times New Roman" w:hAnsi="Times New Roman"/>
                <w:i/>
                <w:sz w:val="20"/>
                <w:szCs w:val="20"/>
              </w:rPr>
            </w:pPr>
            <w:r w:rsidRPr="00F06923">
              <w:rPr>
                <w:rFonts w:ascii="Times New Roman" w:hAnsi="Times New Roman"/>
                <w:i/>
                <w:sz w:val="20"/>
                <w:szCs w:val="20"/>
              </w:rPr>
              <w:t>M (SD)</w:t>
            </w:r>
          </w:p>
        </w:tc>
      </w:tr>
      <w:tr w:rsidR="00CD5741" w:rsidRPr="00F06923" w:rsidTr="00B00DF3">
        <w:trPr>
          <w:trHeight w:val="578"/>
        </w:trPr>
        <w:tc>
          <w:tcPr>
            <w:tcW w:w="1744" w:type="pct"/>
            <w:tcBorders>
              <w:left w:val="single" w:sz="4" w:space="0" w:color="FFFFFF"/>
              <w:bottom w:val="single" w:sz="4" w:space="0" w:color="FFFFFF"/>
              <w:right w:val="single" w:sz="4" w:space="0" w:color="FFFFFF"/>
            </w:tcBorders>
            <w:shd w:val="clear" w:color="auto" w:fill="auto"/>
            <w:vAlign w:val="bottom"/>
          </w:tcPr>
          <w:p w:rsidR="00CD5741" w:rsidRPr="00F06923" w:rsidRDefault="00CD5741" w:rsidP="00E16B14">
            <w:pPr>
              <w:spacing w:after="0" w:line="240" w:lineRule="auto"/>
              <w:contextualSpacing/>
              <w:jc w:val="both"/>
              <w:rPr>
                <w:rFonts w:ascii="Times New Roman" w:hAnsi="Times New Roman"/>
                <w:i/>
                <w:sz w:val="20"/>
                <w:szCs w:val="20"/>
              </w:rPr>
            </w:pPr>
            <w:r w:rsidRPr="00F06923">
              <w:rPr>
                <w:rFonts w:ascii="Times New Roman" w:hAnsi="Times New Roman"/>
                <w:sz w:val="20"/>
                <w:szCs w:val="20"/>
              </w:rPr>
              <w:t>Elementary</w:t>
            </w:r>
            <w:r w:rsidRPr="00F06923">
              <w:rPr>
                <w:rFonts w:ascii="Times New Roman" w:hAnsi="Times New Roman"/>
                <w:i/>
                <w:sz w:val="20"/>
                <w:szCs w:val="20"/>
              </w:rPr>
              <w:t xml:space="preserve"> (n = 76)</w:t>
            </w:r>
          </w:p>
        </w:tc>
        <w:tc>
          <w:tcPr>
            <w:tcW w:w="851" w:type="pct"/>
            <w:tcBorders>
              <w:left w:val="single" w:sz="4" w:space="0" w:color="FFFFFF"/>
              <w:bottom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2.25 (0.66)</w:t>
            </w:r>
          </w:p>
        </w:tc>
        <w:tc>
          <w:tcPr>
            <w:tcW w:w="1132" w:type="pct"/>
            <w:tcBorders>
              <w:left w:val="single" w:sz="4" w:space="0" w:color="FFFFFF"/>
              <w:bottom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1.68 (0.51)</w:t>
            </w:r>
          </w:p>
        </w:tc>
        <w:tc>
          <w:tcPr>
            <w:tcW w:w="1273" w:type="pct"/>
            <w:tcBorders>
              <w:left w:val="single" w:sz="4" w:space="0" w:color="FFFFFF"/>
              <w:bottom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69.6 (26.4)</w:t>
            </w:r>
          </w:p>
        </w:tc>
      </w:tr>
      <w:tr w:rsidR="00CD5741" w:rsidRPr="00F06923" w:rsidTr="00B00DF3">
        <w:trPr>
          <w:trHeight w:val="538"/>
        </w:trPr>
        <w:tc>
          <w:tcPr>
            <w:tcW w:w="1744" w:type="pct"/>
            <w:tcBorders>
              <w:top w:val="single" w:sz="4" w:space="0" w:color="FFFFFF"/>
              <w:left w:val="single" w:sz="4" w:space="0" w:color="FFFFFF"/>
              <w:bottom w:val="single" w:sz="4" w:space="0" w:color="FFFFFF"/>
              <w:right w:val="single" w:sz="4" w:space="0" w:color="FFFFFF"/>
            </w:tcBorders>
            <w:shd w:val="clear" w:color="auto" w:fill="auto"/>
            <w:vAlign w:val="bottom"/>
          </w:tcPr>
          <w:p w:rsidR="00CD5741" w:rsidRPr="00F06923" w:rsidRDefault="00CD5741" w:rsidP="00E16B14">
            <w:pPr>
              <w:spacing w:after="0" w:line="240" w:lineRule="auto"/>
              <w:contextualSpacing/>
              <w:jc w:val="both"/>
              <w:rPr>
                <w:rFonts w:ascii="Times New Roman" w:hAnsi="Times New Roman"/>
                <w:i/>
                <w:sz w:val="20"/>
                <w:szCs w:val="20"/>
              </w:rPr>
            </w:pPr>
            <w:r w:rsidRPr="00F06923">
              <w:rPr>
                <w:rFonts w:ascii="Times New Roman" w:hAnsi="Times New Roman"/>
                <w:sz w:val="20"/>
                <w:szCs w:val="20"/>
              </w:rPr>
              <w:t>Middle School</w:t>
            </w:r>
            <w:r w:rsidRPr="00F06923">
              <w:rPr>
                <w:rFonts w:ascii="Times New Roman" w:hAnsi="Times New Roman"/>
                <w:i/>
                <w:sz w:val="20"/>
                <w:szCs w:val="20"/>
              </w:rPr>
              <w:t xml:space="preserve"> (n = 54)</w:t>
            </w:r>
          </w:p>
        </w:tc>
        <w:tc>
          <w:tcPr>
            <w:tcW w:w="851" w:type="pct"/>
            <w:tcBorders>
              <w:top w:val="single" w:sz="4" w:space="0" w:color="FFFFFF"/>
              <w:left w:val="single" w:sz="4" w:space="0" w:color="FFFFFF"/>
              <w:bottom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2.19 (0.56)</w:t>
            </w:r>
          </w:p>
        </w:tc>
        <w:tc>
          <w:tcPr>
            <w:tcW w:w="1132" w:type="pct"/>
            <w:tcBorders>
              <w:top w:val="single" w:sz="4" w:space="0" w:color="FFFFFF"/>
              <w:left w:val="single" w:sz="4" w:space="0" w:color="FFFFFF"/>
              <w:bottom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1.54 (0.57)</w:t>
            </w:r>
          </w:p>
        </w:tc>
        <w:tc>
          <w:tcPr>
            <w:tcW w:w="1273" w:type="pct"/>
            <w:tcBorders>
              <w:top w:val="single" w:sz="4" w:space="0" w:color="FFFFFF"/>
              <w:left w:val="single" w:sz="4" w:space="0" w:color="FFFFFF"/>
              <w:bottom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77.3 (20.1)</w:t>
            </w:r>
          </w:p>
        </w:tc>
      </w:tr>
      <w:tr w:rsidR="00CD5741" w:rsidRPr="00F06923" w:rsidTr="00B00DF3">
        <w:trPr>
          <w:trHeight w:val="343"/>
        </w:trPr>
        <w:tc>
          <w:tcPr>
            <w:tcW w:w="1744" w:type="pct"/>
            <w:tcBorders>
              <w:top w:val="single" w:sz="4" w:space="0" w:color="FFFFFF"/>
              <w:left w:val="single" w:sz="4" w:space="0" w:color="FFFFFF"/>
              <w:right w:val="single" w:sz="4" w:space="0" w:color="FFFFFF"/>
            </w:tcBorders>
            <w:shd w:val="clear" w:color="auto" w:fill="auto"/>
            <w:vAlign w:val="bottom"/>
          </w:tcPr>
          <w:p w:rsidR="00CD5741" w:rsidRPr="00F06923" w:rsidRDefault="00CD5741" w:rsidP="00E16B14">
            <w:pPr>
              <w:spacing w:after="0" w:line="240" w:lineRule="auto"/>
              <w:contextualSpacing/>
              <w:jc w:val="both"/>
              <w:rPr>
                <w:rFonts w:ascii="Times New Roman" w:hAnsi="Times New Roman"/>
                <w:i/>
                <w:sz w:val="20"/>
                <w:szCs w:val="20"/>
              </w:rPr>
            </w:pPr>
            <w:r w:rsidRPr="00F06923">
              <w:rPr>
                <w:rFonts w:ascii="Times New Roman" w:hAnsi="Times New Roman"/>
                <w:sz w:val="20"/>
                <w:szCs w:val="20"/>
              </w:rPr>
              <w:t xml:space="preserve">Total </w:t>
            </w:r>
            <w:r w:rsidRPr="00F06923">
              <w:rPr>
                <w:rFonts w:ascii="Times New Roman" w:hAnsi="Times New Roman"/>
                <w:i/>
                <w:sz w:val="20"/>
                <w:szCs w:val="20"/>
              </w:rPr>
              <w:t>(N = 130)</w:t>
            </w:r>
          </w:p>
        </w:tc>
        <w:tc>
          <w:tcPr>
            <w:tcW w:w="851" w:type="pct"/>
            <w:tcBorders>
              <w:top w:val="single" w:sz="4" w:space="0" w:color="FFFFFF"/>
              <w:left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2.23 (0.63)</w:t>
            </w:r>
          </w:p>
        </w:tc>
        <w:tc>
          <w:tcPr>
            <w:tcW w:w="1132" w:type="pct"/>
            <w:tcBorders>
              <w:top w:val="single" w:sz="4" w:space="0" w:color="FFFFFF"/>
              <w:left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1.63 (0.54)</w:t>
            </w:r>
          </w:p>
        </w:tc>
        <w:tc>
          <w:tcPr>
            <w:tcW w:w="1273" w:type="pct"/>
            <w:tcBorders>
              <w:top w:val="single" w:sz="4" w:space="0" w:color="FFFFFF"/>
              <w:left w:val="single" w:sz="4" w:space="0" w:color="FFFFFF"/>
              <w:right w:val="single" w:sz="4" w:space="0" w:color="FFFFFF"/>
            </w:tcBorders>
            <w:vAlign w:val="bottom"/>
          </w:tcPr>
          <w:p w:rsidR="00CD5741" w:rsidRPr="00F06923" w:rsidRDefault="00CD5741" w:rsidP="00E16B14">
            <w:pPr>
              <w:spacing w:after="0" w:line="240" w:lineRule="auto"/>
              <w:contextualSpacing/>
              <w:jc w:val="both"/>
              <w:rPr>
                <w:rFonts w:ascii="Times New Roman" w:hAnsi="Times New Roman"/>
                <w:sz w:val="20"/>
                <w:szCs w:val="20"/>
              </w:rPr>
            </w:pPr>
            <w:r w:rsidRPr="00F06923">
              <w:rPr>
                <w:rFonts w:ascii="Times New Roman" w:hAnsi="Times New Roman"/>
                <w:sz w:val="20"/>
                <w:szCs w:val="20"/>
              </w:rPr>
              <w:t>72.7 (24.2)</w:t>
            </w:r>
          </w:p>
        </w:tc>
      </w:tr>
    </w:tbl>
    <w:p w:rsidR="00CD5741" w:rsidRPr="00F06923" w:rsidRDefault="00CD5741" w:rsidP="00E16B14">
      <w:pPr>
        <w:spacing w:after="0" w:line="240" w:lineRule="auto"/>
        <w:ind w:firstLine="720"/>
        <w:contextualSpacing/>
        <w:jc w:val="both"/>
        <w:rPr>
          <w:rFonts w:ascii="Times New Roman" w:hAnsi="Times New Roman"/>
          <w:sz w:val="20"/>
          <w:szCs w:val="20"/>
        </w:rPr>
      </w:pPr>
    </w:p>
    <w:p w:rsidR="00D17575" w:rsidRPr="00B00DF3" w:rsidRDefault="00562CBC" w:rsidP="00E16B14">
      <w:pPr>
        <w:spacing w:after="0" w:line="240" w:lineRule="auto"/>
        <w:jc w:val="both"/>
        <w:rPr>
          <w:rFonts w:ascii="Times New Roman" w:hAnsi="Times New Roman"/>
          <w:bCs/>
          <w:i/>
          <w:color w:val="000000"/>
          <w:sz w:val="20"/>
          <w:szCs w:val="20"/>
        </w:rPr>
      </w:pPr>
      <w:r w:rsidRPr="00B00DF3">
        <w:rPr>
          <w:rFonts w:ascii="Times New Roman" w:hAnsi="Times New Roman"/>
          <w:bCs/>
          <w:i/>
          <w:color w:val="000000"/>
          <w:sz w:val="20"/>
          <w:szCs w:val="20"/>
        </w:rPr>
        <w:t>Is</w:t>
      </w:r>
      <w:r w:rsidR="00BC6DBD" w:rsidRPr="00B00DF3">
        <w:rPr>
          <w:rFonts w:ascii="Times New Roman" w:hAnsi="Times New Roman"/>
          <w:bCs/>
          <w:i/>
          <w:color w:val="000000"/>
          <w:sz w:val="20"/>
          <w:szCs w:val="20"/>
        </w:rPr>
        <w:t xml:space="preserve"> IEP Goal Quality Predictive of Students’ ISTEP Performance? </w:t>
      </w:r>
    </w:p>
    <w:p w:rsidR="00B36E55" w:rsidRPr="00F06923" w:rsidRDefault="00BC6DBD" w:rsidP="00B00DF3">
      <w:pPr>
        <w:spacing w:after="0" w:line="240" w:lineRule="auto"/>
        <w:jc w:val="both"/>
        <w:rPr>
          <w:rFonts w:ascii="Times New Roman" w:hAnsi="Times New Roman"/>
          <w:bCs/>
          <w:color w:val="000000"/>
          <w:sz w:val="20"/>
          <w:szCs w:val="20"/>
        </w:rPr>
      </w:pPr>
      <w:r w:rsidRPr="00F06923">
        <w:rPr>
          <w:rFonts w:ascii="Times New Roman" w:hAnsi="Times New Roman"/>
          <w:sz w:val="20"/>
          <w:szCs w:val="20"/>
        </w:rPr>
        <w:t xml:space="preserve">Multiple regression analysis was used to examine the influence of IEP quality on the students’ ISTEP scores. The following predictors were entered into the model: </w:t>
      </w:r>
      <w:r w:rsidR="00562CBC" w:rsidRPr="00F06923">
        <w:rPr>
          <w:rFonts w:ascii="Times New Roman" w:hAnsi="Times New Roman"/>
          <w:sz w:val="20"/>
          <w:szCs w:val="20"/>
        </w:rPr>
        <w:t>1</w:t>
      </w:r>
      <w:r w:rsidR="001309D1" w:rsidRPr="00F06923">
        <w:rPr>
          <w:rFonts w:ascii="Times New Roman" w:hAnsi="Times New Roman"/>
          <w:sz w:val="20"/>
          <w:szCs w:val="20"/>
        </w:rPr>
        <w:t>)</w:t>
      </w:r>
      <w:r w:rsidRPr="00F06923">
        <w:rPr>
          <w:rFonts w:ascii="Times New Roman" w:hAnsi="Times New Roman"/>
          <w:sz w:val="20"/>
          <w:szCs w:val="20"/>
        </w:rPr>
        <w:t xml:space="preserve"> percentage of </w:t>
      </w:r>
      <w:r w:rsidR="00562CBC" w:rsidRPr="00F06923">
        <w:rPr>
          <w:rFonts w:ascii="Times New Roman" w:hAnsi="Times New Roman"/>
          <w:sz w:val="20"/>
          <w:szCs w:val="20"/>
        </w:rPr>
        <w:t xml:space="preserve">academic-focused IEP goals and mean ratings for academic-focused IEP goals for each of the following criterion 2) curricular access, 3) educational need; 4) present level of educational performance; and 5) progress </w:t>
      </w:r>
      <w:proofErr w:type="gramStart"/>
      <w:r w:rsidR="00562CBC" w:rsidRPr="00F06923">
        <w:rPr>
          <w:rFonts w:ascii="Times New Roman" w:hAnsi="Times New Roman"/>
          <w:sz w:val="20"/>
          <w:szCs w:val="20"/>
        </w:rPr>
        <w:t xml:space="preserve">monitoring </w:t>
      </w:r>
      <w:r w:rsidRPr="00F06923">
        <w:rPr>
          <w:rFonts w:ascii="Times New Roman" w:hAnsi="Times New Roman"/>
          <w:sz w:val="20"/>
          <w:szCs w:val="20"/>
        </w:rPr>
        <w:t>.</w:t>
      </w:r>
      <w:proofErr w:type="gramEnd"/>
      <w:r w:rsidRPr="00F06923">
        <w:rPr>
          <w:rFonts w:ascii="Times New Roman" w:hAnsi="Times New Roman"/>
          <w:sz w:val="20"/>
          <w:szCs w:val="20"/>
        </w:rPr>
        <w:t xml:space="preserve">  </w:t>
      </w:r>
      <w:r w:rsidRPr="00F06923">
        <w:rPr>
          <w:rFonts w:ascii="Times New Roman" w:hAnsi="Times New Roman"/>
          <w:bCs/>
          <w:color w:val="000000"/>
          <w:sz w:val="20"/>
          <w:szCs w:val="20"/>
        </w:rPr>
        <w:t xml:space="preserve">Predictors were entered in </w:t>
      </w:r>
      <w:r w:rsidR="00562CBC" w:rsidRPr="00F06923">
        <w:rPr>
          <w:rFonts w:ascii="Times New Roman" w:hAnsi="Times New Roman"/>
          <w:bCs/>
          <w:color w:val="000000"/>
          <w:sz w:val="20"/>
          <w:szCs w:val="20"/>
        </w:rPr>
        <w:t>forward</w:t>
      </w:r>
      <w:r w:rsidRPr="00F06923">
        <w:rPr>
          <w:rFonts w:ascii="Times New Roman" w:hAnsi="Times New Roman"/>
          <w:bCs/>
          <w:color w:val="000000"/>
          <w:sz w:val="20"/>
          <w:szCs w:val="20"/>
        </w:rPr>
        <w:t xml:space="preserve"> fashion with a .05 significance cut-off.</w:t>
      </w:r>
      <w:r w:rsidRPr="00F06923">
        <w:rPr>
          <w:rFonts w:ascii="Times New Roman" w:hAnsi="Times New Roman"/>
          <w:sz w:val="20"/>
          <w:szCs w:val="20"/>
        </w:rPr>
        <w:t xml:space="preserve">  </w:t>
      </w:r>
      <w:r w:rsidR="001309D1" w:rsidRPr="00F06923">
        <w:rPr>
          <w:rFonts w:ascii="Times New Roman" w:hAnsi="Times New Roman"/>
          <w:sz w:val="20"/>
          <w:szCs w:val="20"/>
        </w:rPr>
        <w:t xml:space="preserve"> </w:t>
      </w:r>
      <w:r w:rsidR="00CD5741" w:rsidRPr="00F06923">
        <w:rPr>
          <w:rFonts w:ascii="Times New Roman" w:hAnsi="Times New Roman"/>
          <w:sz w:val="20"/>
          <w:szCs w:val="20"/>
        </w:rPr>
        <w:t>Table 3 provides</w:t>
      </w:r>
      <w:r w:rsidRPr="00F06923">
        <w:rPr>
          <w:rFonts w:ascii="Times New Roman" w:hAnsi="Times New Roman"/>
          <w:sz w:val="20"/>
          <w:szCs w:val="20"/>
        </w:rPr>
        <w:t xml:space="preserve"> </w:t>
      </w:r>
      <w:r w:rsidR="001309D1" w:rsidRPr="00F06923">
        <w:rPr>
          <w:rFonts w:ascii="Times New Roman" w:hAnsi="Times New Roman"/>
          <w:sz w:val="20"/>
          <w:szCs w:val="20"/>
        </w:rPr>
        <w:t xml:space="preserve">a summary </w:t>
      </w:r>
      <w:r w:rsidR="006F74FE" w:rsidRPr="00F06923">
        <w:rPr>
          <w:rFonts w:ascii="Times New Roman" w:hAnsi="Times New Roman"/>
          <w:sz w:val="20"/>
          <w:szCs w:val="20"/>
        </w:rPr>
        <w:t>of the</w:t>
      </w:r>
      <w:r w:rsidRPr="00F06923">
        <w:rPr>
          <w:rFonts w:ascii="Times New Roman" w:hAnsi="Times New Roman"/>
          <w:sz w:val="20"/>
          <w:szCs w:val="20"/>
        </w:rPr>
        <w:t xml:space="preserve"> results of the analysis.</w:t>
      </w:r>
      <w:r w:rsidR="00D82CD0" w:rsidRPr="00F06923">
        <w:rPr>
          <w:rFonts w:ascii="Times New Roman" w:hAnsi="Times New Roman"/>
          <w:sz w:val="20"/>
          <w:szCs w:val="20"/>
        </w:rPr>
        <w:t xml:space="preserve"> </w:t>
      </w:r>
      <w:r w:rsidR="00353CB3" w:rsidRPr="00F06923">
        <w:rPr>
          <w:rFonts w:ascii="Times New Roman" w:hAnsi="Times New Roman"/>
          <w:bCs/>
          <w:color w:val="000000"/>
          <w:sz w:val="20"/>
          <w:szCs w:val="20"/>
        </w:rPr>
        <w:t xml:space="preserve">The results indicate that the </w:t>
      </w:r>
      <w:r w:rsidR="00C52503" w:rsidRPr="00F06923">
        <w:rPr>
          <w:rFonts w:ascii="Times New Roman" w:hAnsi="Times New Roman"/>
          <w:bCs/>
          <w:color w:val="000000"/>
          <w:sz w:val="20"/>
          <w:szCs w:val="20"/>
        </w:rPr>
        <w:t>mean Progress Monitoring rating for academic-focused IEP goals</w:t>
      </w:r>
      <w:r w:rsidR="00353CB3" w:rsidRPr="00F06923">
        <w:rPr>
          <w:rFonts w:ascii="Times New Roman" w:hAnsi="Times New Roman"/>
          <w:bCs/>
          <w:color w:val="000000"/>
          <w:sz w:val="20"/>
          <w:szCs w:val="20"/>
        </w:rPr>
        <w:t xml:space="preserve"> accounted for a small amount (</w:t>
      </w:r>
      <w:r w:rsidR="00353CB3" w:rsidRPr="00F06923">
        <w:rPr>
          <w:rFonts w:ascii="Times New Roman" w:hAnsi="Times New Roman"/>
          <w:bCs/>
          <w:i/>
          <w:color w:val="000000"/>
          <w:sz w:val="20"/>
          <w:szCs w:val="20"/>
        </w:rPr>
        <w:t>R</w:t>
      </w:r>
      <w:r w:rsidR="00353CB3" w:rsidRPr="00F06923">
        <w:rPr>
          <w:rFonts w:ascii="Times New Roman" w:hAnsi="Times New Roman"/>
          <w:bCs/>
          <w:i/>
          <w:color w:val="000000"/>
          <w:sz w:val="20"/>
          <w:szCs w:val="20"/>
          <w:vertAlign w:val="superscript"/>
        </w:rPr>
        <w:t>2</w:t>
      </w:r>
      <w:r w:rsidR="00353CB3" w:rsidRPr="00F06923">
        <w:rPr>
          <w:rFonts w:ascii="Times New Roman" w:hAnsi="Times New Roman"/>
          <w:bCs/>
          <w:color w:val="000000"/>
          <w:sz w:val="20"/>
          <w:szCs w:val="20"/>
        </w:rPr>
        <w:t xml:space="preserve"> = .</w:t>
      </w:r>
      <w:r w:rsidR="00C52503" w:rsidRPr="00F06923">
        <w:rPr>
          <w:rFonts w:ascii="Times New Roman" w:hAnsi="Times New Roman"/>
          <w:bCs/>
          <w:color w:val="000000"/>
          <w:sz w:val="20"/>
          <w:szCs w:val="20"/>
        </w:rPr>
        <w:t>04</w:t>
      </w:r>
      <w:r w:rsidR="00353CB3" w:rsidRPr="00F06923">
        <w:rPr>
          <w:rFonts w:ascii="Times New Roman" w:hAnsi="Times New Roman"/>
          <w:bCs/>
          <w:color w:val="000000"/>
          <w:sz w:val="20"/>
          <w:szCs w:val="20"/>
        </w:rPr>
        <w:t xml:space="preserve">) of variation in students’ ISTEP performance. </w:t>
      </w:r>
      <w:r w:rsidR="00C52503" w:rsidRPr="00F06923">
        <w:rPr>
          <w:rFonts w:ascii="Times New Roman" w:hAnsi="Times New Roman"/>
          <w:bCs/>
          <w:color w:val="000000"/>
          <w:sz w:val="20"/>
          <w:szCs w:val="20"/>
        </w:rPr>
        <w:t>The regression coefficient for the Progress Monitoring ratings was negative, indicating that the inclusion of progress monitoring procedures in students’ academic-focus IEP goals was associated with lower performance on the statewide achievement test.</w:t>
      </w:r>
      <w:r w:rsidR="001309D1" w:rsidRPr="00F06923">
        <w:rPr>
          <w:rFonts w:ascii="Times New Roman" w:hAnsi="Times New Roman"/>
          <w:bCs/>
          <w:color w:val="000000"/>
          <w:sz w:val="20"/>
          <w:szCs w:val="20"/>
        </w:rPr>
        <w:t xml:space="preserve"> </w:t>
      </w:r>
    </w:p>
    <w:p w:rsidR="00B00DF3" w:rsidRDefault="00B00DF3" w:rsidP="00E16B14">
      <w:pPr>
        <w:spacing w:after="0" w:line="240" w:lineRule="auto"/>
        <w:contextualSpacing/>
        <w:jc w:val="both"/>
        <w:rPr>
          <w:rFonts w:ascii="Times New Roman" w:hAnsi="Times New Roman"/>
          <w:sz w:val="20"/>
          <w:szCs w:val="20"/>
        </w:rPr>
      </w:pPr>
    </w:p>
    <w:p w:rsidR="00CD5741" w:rsidRPr="00B00DF3" w:rsidRDefault="00CD5741" w:rsidP="00B00DF3">
      <w:pPr>
        <w:spacing w:after="0" w:line="240" w:lineRule="auto"/>
        <w:contextualSpacing/>
        <w:jc w:val="center"/>
        <w:rPr>
          <w:rFonts w:ascii="Times New Roman" w:hAnsi="Times New Roman"/>
          <w:b/>
          <w:sz w:val="20"/>
          <w:szCs w:val="20"/>
        </w:rPr>
      </w:pPr>
      <w:proofErr w:type="gramStart"/>
      <w:r w:rsidRPr="00B00DF3">
        <w:rPr>
          <w:rFonts w:ascii="Times New Roman" w:hAnsi="Times New Roman"/>
          <w:b/>
          <w:sz w:val="20"/>
          <w:szCs w:val="20"/>
        </w:rPr>
        <w:t>Table 3</w:t>
      </w:r>
      <w:r w:rsidR="00B00DF3" w:rsidRPr="00B00DF3">
        <w:rPr>
          <w:rFonts w:ascii="Times New Roman" w:hAnsi="Times New Roman"/>
          <w:b/>
          <w:sz w:val="20"/>
          <w:szCs w:val="20"/>
        </w:rPr>
        <w:t>.</w:t>
      </w:r>
      <w:proofErr w:type="gramEnd"/>
      <w:r w:rsidR="00B00DF3" w:rsidRPr="00B00DF3">
        <w:rPr>
          <w:rFonts w:ascii="Times New Roman" w:hAnsi="Times New Roman"/>
          <w:b/>
          <w:sz w:val="20"/>
          <w:szCs w:val="20"/>
        </w:rPr>
        <w:t xml:space="preserve"> </w:t>
      </w:r>
      <w:r w:rsidRPr="00B00DF3">
        <w:rPr>
          <w:rFonts w:ascii="Times New Roman" w:hAnsi="Times New Roman"/>
          <w:b/>
          <w:bCs/>
          <w:sz w:val="20"/>
          <w:szCs w:val="20"/>
        </w:rPr>
        <w:t>Variables That Predict Students’ ISTEP Performance</w:t>
      </w:r>
    </w:p>
    <w:p w:rsidR="00CD5741" w:rsidRPr="00F06923" w:rsidRDefault="00CD5741" w:rsidP="00B00DF3">
      <w:pPr>
        <w:spacing w:after="0" w:line="240" w:lineRule="auto"/>
        <w:contextualSpacing/>
        <w:jc w:val="center"/>
        <w:rPr>
          <w:rFonts w:ascii="Times New Roman" w:hAnsi="Times New Roman"/>
          <w:b/>
          <w:bCs/>
          <w:i/>
          <w:sz w:val="20"/>
          <w:szCs w:val="20"/>
        </w:rPr>
      </w:pPr>
      <w:r w:rsidRPr="00F06923">
        <w:rPr>
          <w:rFonts w:ascii="Times New Roman" w:hAnsi="Times New Roman"/>
          <w:b/>
          <w:bCs/>
          <w:i/>
          <w:sz w:val="20"/>
          <w:szCs w:val="20"/>
        </w:rPr>
        <w:t>_______________________________________________________________________________</w:t>
      </w:r>
    </w:p>
    <w:p w:rsidR="00CD5741" w:rsidRPr="00F06923" w:rsidRDefault="00CD5741" w:rsidP="00E16B14">
      <w:pPr>
        <w:spacing w:after="0" w:line="240" w:lineRule="auto"/>
        <w:contextualSpacing/>
        <w:jc w:val="both"/>
        <w:rPr>
          <w:rFonts w:ascii="Times New Roman" w:hAnsi="Times New Roman"/>
          <w:b/>
          <w:bCs/>
          <w:i/>
          <w:sz w:val="20"/>
          <w:szCs w:val="20"/>
        </w:rPr>
      </w:pPr>
      <w:r w:rsidRPr="00F06923">
        <w:rPr>
          <w:rFonts w:ascii="Times New Roman" w:hAnsi="Times New Roman"/>
          <w:b/>
          <w:bCs/>
          <w:i/>
          <w:sz w:val="20"/>
          <w:szCs w:val="20"/>
        </w:rPr>
        <w:tab/>
      </w:r>
    </w:p>
    <w:p w:rsidR="00CD5741" w:rsidRPr="00F06923" w:rsidRDefault="00CD5741" w:rsidP="00885D58">
      <w:pPr>
        <w:spacing w:before="240" w:after="0" w:line="240" w:lineRule="auto"/>
        <w:contextualSpacing/>
        <w:rPr>
          <w:rFonts w:ascii="Times New Roman" w:hAnsi="Times New Roman"/>
          <w:bCs/>
          <w:sz w:val="20"/>
          <w:szCs w:val="20"/>
          <w:u w:val="single"/>
        </w:rPr>
      </w:pPr>
      <w:r w:rsidRPr="00F06923">
        <w:rPr>
          <w:rFonts w:ascii="Times New Roman" w:hAnsi="Times New Roman"/>
          <w:bCs/>
          <w:i/>
          <w:sz w:val="20"/>
          <w:szCs w:val="20"/>
        </w:rPr>
        <w:t xml:space="preserve">        </w:t>
      </w:r>
      <w:r w:rsidRPr="00F06923">
        <w:rPr>
          <w:rFonts w:ascii="Times New Roman" w:hAnsi="Times New Roman"/>
          <w:bCs/>
          <w:sz w:val="20"/>
          <w:szCs w:val="20"/>
        </w:rPr>
        <w:t xml:space="preserve">                                                           </w:t>
      </w:r>
      <w:r w:rsidRPr="00F06923">
        <w:rPr>
          <w:rFonts w:ascii="Times New Roman" w:hAnsi="Times New Roman"/>
          <w:bCs/>
          <w:sz w:val="20"/>
          <w:szCs w:val="20"/>
        </w:rPr>
        <w:tab/>
      </w:r>
      <w:r w:rsidR="00882DCB">
        <w:rPr>
          <w:rFonts w:ascii="Times New Roman" w:hAnsi="Times New Roman"/>
          <w:bCs/>
          <w:sz w:val="20"/>
          <w:szCs w:val="20"/>
        </w:rPr>
        <w:t xml:space="preserve">   </w:t>
      </w:r>
      <w:r w:rsidR="00885D58">
        <w:rPr>
          <w:rFonts w:ascii="Times New Roman" w:hAnsi="Times New Roman"/>
          <w:bCs/>
          <w:sz w:val="20"/>
          <w:szCs w:val="20"/>
        </w:rPr>
        <w:t xml:space="preserve"> </w:t>
      </w:r>
      <w:r w:rsidR="00885D58">
        <w:rPr>
          <w:rFonts w:ascii="Times New Roman" w:hAnsi="Times New Roman"/>
          <w:bCs/>
          <w:sz w:val="20"/>
          <w:szCs w:val="20"/>
        </w:rPr>
        <w:tab/>
      </w:r>
      <w:r w:rsidRPr="00F06923">
        <w:rPr>
          <w:rFonts w:ascii="Times New Roman" w:hAnsi="Times New Roman"/>
          <w:bCs/>
          <w:sz w:val="20"/>
          <w:szCs w:val="20"/>
          <w:u w:val="single"/>
        </w:rPr>
        <w:t xml:space="preserve">     </w:t>
      </w:r>
      <w:r w:rsidR="00885D58">
        <w:rPr>
          <w:rFonts w:ascii="Times New Roman" w:hAnsi="Times New Roman"/>
          <w:bCs/>
          <w:sz w:val="20"/>
          <w:szCs w:val="20"/>
          <w:u w:val="single"/>
        </w:rPr>
        <w:t xml:space="preserve">             Partial Regression Weights          </w:t>
      </w:r>
      <w:r w:rsidR="00885D58">
        <w:rPr>
          <w:rFonts w:ascii="Times New Roman" w:hAnsi="Times New Roman"/>
          <w:bCs/>
          <w:sz w:val="20"/>
          <w:szCs w:val="20"/>
          <w:u w:val="single"/>
        </w:rPr>
        <w:tab/>
      </w:r>
    </w:p>
    <w:p w:rsidR="00CD5741" w:rsidRPr="00F06923" w:rsidRDefault="00CD5741" w:rsidP="00E16B14">
      <w:pPr>
        <w:spacing w:before="240" w:after="0" w:line="240" w:lineRule="auto"/>
        <w:contextualSpacing/>
        <w:jc w:val="both"/>
        <w:rPr>
          <w:rFonts w:ascii="Times New Roman" w:hAnsi="Times New Roman"/>
          <w:bCs/>
          <w:sz w:val="20"/>
          <w:szCs w:val="20"/>
        </w:rPr>
      </w:pPr>
      <w:proofErr w:type="gramStart"/>
      <w:r w:rsidRPr="00F06923">
        <w:rPr>
          <w:rFonts w:ascii="Times New Roman" w:hAnsi="Times New Roman"/>
          <w:bCs/>
          <w:sz w:val="20"/>
          <w:szCs w:val="20"/>
          <w:u w:val="single"/>
        </w:rPr>
        <w:t>Predictor</w:t>
      </w:r>
      <w:r w:rsidRPr="00F06923">
        <w:rPr>
          <w:rFonts w:ascii="Times New Roman" w:hAnsi="Times New Roman"/>
          <w:bCs/>
          <w:sz w:val="20"/>
          <w:szCs w:val="20"/>
          <w:u w:val="single"/>
        </w:rPr>
        <w:tab/>
      </w:r>
      <w:r w:rsidRPr="00F06923">
        <w:rPr>
          <w:rFonts w:ascii="Times New Roman" w:hAnsi="Times New Roman"/>
          <w:bCs/>
          <w:sz w:val="20"/>
          <w:szCs w:val="20"/>
          <w:u w:val="single"/>
        </w:rPr>
        <w:tab/>
      </w:r>
      <w:r w:rsidRPr="00F06923">
        <w:rPr>
          <w:rFonts w:ascii="Times New Roman" w:hAnsi="Times New Roman"/>
          <w:bCs/>
          <w:sz w:val="20"/>
          <w:szCs w:val="20"/>
          <w:u w:val="single"/>
        </w:rPr>
        <w:tab/>
      </w:r>
      <w:r w:rsidRPr="00F06923">
        <w:rPr>
          <w:rFonts w:ascii="Times New Roman" w:hAnsi="Times New Roman"/>
          <w:bCs/>
          <w:sz w:val="20"/>
          <w:szCs w:val="20"/>
          <w:u w:val="single"/>
        </w:rPr>
        <w:tab/>
      </w:r>
      <w:r w:rsidRPr="00F06923">
        <w:rPr>
          <w:rFonts w:ascii="Times New Roman" w:hAnsi="Times New Roman"/>
          <w:bCs/>
          <w:sz w:val="20"/>
          <w:szCs w:val="20"/>
          <w:u w:val="single"/>
        </w:rPr>
        <w:tab/>
        <w:t>Raw</w:t>
      </w:r>
      <w:r w:rsidRPr="00F06923">
        <w:rPr>
          <w:rFonts w:ascii="Times New Roman" w:hAnsi="Times New Roman"/>
          <w:bCs/>
          <w:sz w:val="20"/>
          <w:szCs w:val="20"/>
          <w:u w:val="single"/>
        </w:rPr>
        <w:tab/>
      </w:r>
      <w:r w:rsidRPr="00F06923">
        <w:rPr>
          <w:rFonts w:ascii="Times New Roman" w:hAnsi="Times New Roman"/>
          <w:bCs/>
          <w:sz w:val="20"/>
          <w:szCs w:val="20"/>
          <w:u w:val="single"/>
        </w:rPr>
        <w:tab/>
        <w:t>Standardized</w:t>
      </w:r>
      <w:r w:rsidRPr="00F06923">
        <w:rPr>
          <w:rFonts w:ascii="Times New Roman" w:hAnsi="Times New Roman"/>
          <w:bCs/>
          <w:sz w:val="20"/>
          <w:szCs w:val="20"/>
          <w:u w:val="single"/>
        </w:rPr>
        <w:tab/>
      </w:r>
      <w:r w:rsidR="00885D58">
        <w:rPr>
          <w:rFonts w:ascii="Times New Roman" w:hAnsi="Times New Roman"/>
          <w:bCs/>
          <w:sz w:val="20"/>
          <w:szCs w:val="20"/>
          <w:u w:val="single"/>
        </w:rPr>
        <w:t xml:space="preserve"> </w:t>
      </w:r>
      <w:r w:rsidRPr="00F06923">
        <w:rPr>
          <w:rFonts w:ascii="Times New Roman" w:hAnsi="Times New Roman"/>
          <w:bCs/>
          <w:sz w:val="20"/>
          <w:szCs w:val="20"/>
          <w:u w:val="single"/>
        </w:rPr>
        <w:tab/>
        <w:t>Sig.</w:t>
      </w:r>
      <w:proofErr w:type="gramEnd"/>
    </w:p>
    <w:p w:rsidR="00CD5741" w:rsidRPr="00F06923" w:rsidRDefault="00CD5741" w:rsidP="00E16B14">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ELA Expectations</w:t>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t>-23.483</w:t>
      </w:r>
      <w:r w:rsidRPr="00F06923">
        <w:rPr>
          <w:rFonts w:ascii="Times New Roman" w:hAnsi="Times New Roman"/>
          <w:bCs/>
          <w:sz w:val="20"/>
          <w:szCs w:val="20"/>
        </w:rPr>
        <w:tab/>
      </w:r>
      <w:r w:rsidRPr="00F06923">
        <w:rPr>
          <w:rFonts w:ascii="Times New Roman" w:hAnsi="Times New Roman"/>
          <w:bCs/>
          <w:sz w:val="20"/>
          <w:szCs w:val="20"/>
        </w:rPr>
        <w:tab/>
        <w:t>-.20</w:t>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t>.04</w:t>
      </w:r>
      <w:r w:rsidRPr="00F06923">
        <w:rPr>
          <w:rFonts w:ascii="Times New Roman" w:hAnsi="Times New Roman"/>
          <w:bCs/>
          <w:sz w:val="20"/>
          <w:szCs w:val="20"/>
        </w:rPr>
        <w:tab/>
      </w:r>
    </w:p>
    <w:p w:rsidR="00CD5741" w:rsidRPr="00F06923" w:rsidRDefault="00CD5741" w:rsidP="00E16B14">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Intercept</w:t>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00B00DF3">
        <w:rPr>
          <w:rFonts w:ascii="Times New Roman" w:hAnsi="Times New Roman"/>
          <w:bCs/>
          <w:sz w:val="20"/>
          <w:szCs w:val="20"/>
        </w:rPr>
        <w:tab/>
      </w:r>
      <w:r w:rsidRPr="00F06923">
        <w:rPr>
          <w:rFonts w:ascii="Times New Roman" w:hAnsi="Times New Roman"/>
          <w:bCs/>
          <w:sz w:val="20"/>
          <w:szCs w:val="20"/>
        </w:rPr>
        <w:t>405.9</w:t>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p>
    <w:p w:rsidR="00CD5741" w:rsidRPr="00F06923" w:rsidRDefault="00CD5741" w:rsidP="00E16B14">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Summary Statistics</w:t>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i/>
          <w:sz w:val="20"/>
          <w:szCs w:val="20"/>
        </w:rPr>
        <w:t>R</w:t>
      </w:r>
      <w:r w:rsidRPr="00F06923">
        <w:rPr>
          <w:rFonts w:ascii="Times New Roman" w:hAnsi="Times New Roman"/>
          <w:bCs/>
          <w:sz w:val="20"/>
          <w:szCs w:val="20"/>
        </w:rPr>
        <w:t xml:space="preserve"> = -.20</w:t>
      </w:r>
      <w:r w:rsidRPr="00F06923">
        <w:rPr>
          <w:rFonts w:ascii="Times New Roman" w:hAnsi="Times New Roman"/>
          <w:bCs/>
          <w:sz w:val="20"/>
          <w:szCs w:val="20"/>
        </w:rPr>
        <w:tab/>
      </w:r>
      <w:r w:rsidRPr="00F06923">
        <w:rPr>
          <w:rFonts w:ascii="Times New Roman" w:hAnsi="Times New Roman"/>
          <w:bCs/>
          <w:sz w:val="20"/>
          <w:szCs w:val="20"/>
        </w:rPr>
        <w:tab/>
      </w:r>
      <w:r w:rsidRPr="00F06923">
        <w:rPr>
          <w:rFonts w:ascii="Times New Roman" w:hAnsi="Times New Roman"/>
          <w:bCs/>
          <w:i/>
          <w:sz w:val="20"/>
          <w:szCs w:val="20"/>
        </w:rPr>
        <w:t>R</w:t>
      </w:r>
      <w:r w:rsidRPr="00F06923">
        <w:rPr>
          <w:rFonts w:ascii="Times New Roman" w:hAnsi="Times New Roman"/>
          <w:bCs/>
          <w:i/>
          <w:sz w:val="20"/>
          <w:szCs w:val="20"/>
          <w:vertAlign w:val="superscript"/>
        </w:rPr>
        <w:t>2</w:t>
      </w:r>
      <w:r w:rsidRPr="00F06923">
        <w:rPr>
          <w:rFonts w:ascii="Times New Roman" w:hAnsi="Times New Roman"/>
          <w:bCs/>
          <w:i/>
          <w:sz w:val="20"/>
          <w:szCs w:val="20"/>
        </w:rPr>
        <w:t xml:space="preserve"> </w:t>
      </w:r>
      <w:r w:rsidRPr="00F06923">
        <w:rPr>
          <w:rFonts w:ascii="Times New Roman" w:hAnsi="Times New Roman"/>
          <w:bCs/>
          <w:sz w:val="20"/>
          <w:szCs w:val="20"/>
        </w:rPr>
        <w:t>= .04</w:t>
      </w:r>
    </w:p>
    <w:p w:rsidR="00B00DF3" w:rsidRPr="00F06923" w:rsidRDefault="00B00DF3" w:rsidP="00B00DF3">
      <w:pPr>
        <w:spacing w:after="0" w:line="240" w:lineRule="auto"/>
        <w:contextualSpacing/>
        <w:jc w:val="center"/>
        <w:rPr>
          <w:rFonts w:ascii="Times New Roman" w:hAnsi="Times New Roman"/>
          <w:b/>
          <w:bCs/>
          <w:i/>
          <w:sz w:val="20"/>
          <w:szCs w:val="20"/>
        </w:rPr>
      </w:pPr>
      <w:r w:rsidRPr="00F06923">
        <w:rPr>
          <w:rFonts w:ascii="Times New Roman" w:hAnsi="Times New Roman"/>
          <w:b/>
          <w:bCs/>
          <w:i/>
          <w:sz w:val="20"/>
          <w:szCs w:val="20"/>
        </w:rPr>
        <w:t>_______________________________________________________________________________</w:t>
      </w:r>
    </w:p>
    <w:p w:rsidR="00CD5741" w:rsidRPr="00F06923" w:rsidRDefault="00CD5741" w:rsidP="00E16B14">
      <w:pPr>
        <w:spacing w:after="0" w:line="240" w:lineRule="auto"/>
        <w:ind w:firstLine="720"/>
        <w:jc w:val="both"/>
        <w:rPr>
          <w:rFonts w:ascii="Times New Roman" w:hAnsi="Times New Roman"/>
          <w:bCs/>
          <w:color w:val="000000"/>
          <w:sz w:val="20"/>
          <w:szCs w:val="20"/>
        </w:rPr>
      </w:pPr>
    </w:p>
    <w:p w:rsidR="00D17575" w:rsidRPr="00EA6531" w:rsidRDefault="00C52503" w:rsidP="00E16B14">
      <w:pPr>
        <w:spacing w:after="0" w:line="240" w:lineRule="auto"/>
        <w:jc w:val="both"/>
        <w:rPr>
          <w:rFonts w:ascii="Times New Roman" w:hAnsi="Times New Roman"/>
          <w:i/>
          <w:sz w:val="20"/>
          <w:szCs w:val="20"/>
        </w:rPr>
      </w:pPr>
      <w:r w:rsidRPr="00EA6531">
        <w:rPr>
          <w:rFonts w:ascii="Times New Roman" w:hAnsi="Times New Roman"/>
          <w:i/>
          <w:sz w:val="20"/>
          <w:szCs w:val="20"/>
        </w:rPr>
        <w:t>Is IEP Quality Associated with Curricular Access</w:t>
      </w:r>
      <w:r w:rsidR="004F4D04" w:rsidRPr="00EA6531">
        <w:rPr>
          <w:rFonts w:ascii="Times New Roman" w:hAnsi="Times New Roman"/>
          <w:i/>
          <w:sz w:val="20"/>
          <w:szCs w:val="20"/>
        </w:rPr>
        <w:t xml:space="preserve"> and Inclusion in General Education</w:t>
      </w:r>
      <w:r w:rsidR="00BC6DBD" w:rsidRPr="00EA6531">
        <w:rPr>
          <w:rFonts w:ascii="Times New Roman" w:hAnsi="Times New Roman"/>
          <w:i/>
          <w:sz w:val="20"/>
          <w:szCs w:val="20"/>
        </w:rPr>
        <w:t>?</w:t>
      </w:r>
    </w:p>
    <w:p w:rsidR="00FB2723" w:rsidRPr="00F06923" w:rsidRDefault="00C52503" w:rsidP="00EA6531">
      <w:pPr>
        <w:spacing w:after="0" w:line="240" w:lineRule="auto"/>
        <w:jc w:val="both"/>
        <w:rPr>
          <w:rFonts w:ascii="Times New Roman" w:hAnsi="Times New Roman"/>
          <w:sz w:val="20"/>
          <w:szCs w:val="20"/>
        </w:rPr>
      </w:pPr>
      <w:r w:rsidRPr="00F06923">
        <w:rPr>
          <w:rFonts w:ascii="Times New Roman" w:hAnsi="Times New Roman"/>
          <w:sz w:val="20"/>
          <w:szCs w:val="20"/>
        </w:rPr>
        <w:t xml:space="preserve">A series of three multiple regression analyses was used to examine the </w:t>
      </w:r>
      <w:r w:rsidR="004F4D04" w:rsidRPr="00F06923">
        <w:rPr>
          <w:rFonts w:ascii="Times New Roman" w:hAnsi="Times New Roman"/>
          <w:sz w:val="20"/>
          <w:szCs w:val="20"/>
        </w:rPr>
        <w:t>relationship of</w:t>
      </w:r>
      <w:r w:rsidRPr="00F06923">
        <w:rPr>
          <w:rFonts w:ascii="Times New Roman" w:hAnsi="Times New Roman"/>
          <w:sz w:val="20"/>
          <w:szCs w:val="20"/>
        </w:rPr>
        <w:t xml:space="preserve"> IEP quality</w:t>
      </w:r>
      <w:r w:rsidR="004F4D04" w:rsidRPr="00F06923">
        <w:rPr>
          <w:rFonts w:ascii="Times New Roman" w:hAnsi="Times New Roman"/>
          <w:sz w:val="20"/>
          <w:szCs w:val="20"/>
        </w:rPr>
        <w:t xml:space="preserve"> to</w:t>
      </w:r>
      <w:r w:rsidRPr="00F06923">
        <w:rPr>
          <w:rFonts w:ascii="Times New Roman" w:hAnsi="Times New Roman"/>
          <w:sz w:val="20"/>
          <w:szCs w:val="20"/>
        </w:rPr>
        <w:t xml:space="preserve"> </w:t>
      </w:r>
      <w:r w:rsidR="004F4D04" w:rsidRPr="00F06923">
        <w:rPr>
          <w:rFonts w:ascii="Times New Roman" w:hAnsi="Times New Roman"/>
          <w:sz w:val="20"/>
          <w:szCs w:val="20"/>
        </w:rPr>
        <w:t>teacher-reported percentage of time in the general education classroom and to two</w:t>
      </w:r>
      <w:r w:rsidRPr="00F06923">
        <w:rPr>
          <w:rFonts w:ascii="Times New Roman" w:hAnsi="Times New Roman"/>
          <w:sz w:val="20"/>
          <w:szCs w:val="20"/>
        </w:rPr>
        <w:t xml:space="preserve"> measures of students’ curricular access: </w:t>
      </w:r>
      <w:r w:rsidR="004F4D04" w:rsidRPr="00F06923">
        <w:rPr>
          <w:rFonts w:ascii="Times New Roman" w:hAnsi="Times New Roman"/>
          <w:sz w:val="20"/>
          <w:szCs w:val="20"/>
        </w:rPr>
        <w:t>(a)</w:t>
      </w:r>
      <w:r w:rsidRPr="00F06923">
        <w:rPr>
          <w:rFonts w:ascii="Times New Roman" w:hAnsi="Times New Roman"/>
          <w:sz w:val="20"/>
          <w:szCs w:val="20"/>
        </w:rPr>
        <w:t xml:space="preserve"> CIS Instructional Intensity ratings; and (c) </w:t>
      </w:r>
      <w:r w:rsidR="00CD5741" w:rsidRPr="00F06923">
        <w:rPr>
          <w:rFonts w:ascii="Times New Roman" w:hAnsi="Times New Roman"/>
          <w:sz w:val="20"/>
          <w:szCs w:val="20"/>
        </w:rPr>
        <w:t>CIS Time of Instruction ratings</w:t>
      </w:r>
      <w:r w:rsidRPr="00F06923">
        <w:rPr>
          <w:rFonts w:ascii="Times New Roman" w:hAnsi="Times New Roman"/>
          <w:sz w:val="20"/>
          <w:szCs w:val="20"/>
        </w:rPr>
        <w:t xml:space="preserve">. The following predictors were entered into the model: 1) percentage of academic-focused IEP goals and mean ratings for academic-focused IEP goals for each of the following criterion 2) curricular access, 3) educational need; 4) present level of educational performance; and 5) progress monitoring.  </w:t>
      </w:r>
      <w:r w:rsidRPr="00F06923">
        <w:rPr>
          <w:rFonts w:ascii="Times New Roman" w:hAnsi="Times New Roman"/>
          <w:bCs/>
          <w:color w:val="000000"/>
          <w:sz w:val="20"/>
          <w:szCs w:val="20"/>
        </w:rPr>
        <w:t>Predictors were entered in forward fashion with a .05 significance cut-off.</w:t>
      </w:r>
      <w:r w:rsidRPr="00F06923">
        <w:rPr>
          <w:rFonts w:ascii="Times New Roman" w:hAnsi="Times New Roman"/>
          <w:sz w:val="20"/>
          <w:szCs w:val="20"/>
        </w:rPr>
        <w:t xml:space="preserve"> </w:t>
      </w:r>
      <w:r w:rsidR="00E73E81" w:rsidRPr="00F06923">
        <w:rPr>
          <w:rFonts w:ascii="Times New Roman" w:hAnsi="Times New Roman"/>
          <w:sz w:val="20"/>
          <w:szCs w:val="20"/>
        </w:rPr>
        <w:t xml:space="preserve"> The results indicated that none of the IEP quality metrics were significantly associated with </w:t>
      </w:r>
      <w:r w:rsidR="004F4D04" w:rsidRPr="00F06923">
        <w:rPr>
          <w:rFonts w:ascii="Times New Roman" w:hAnsi="Times New Roman"/>
          <w:sz w:val="20"/>
          <w:szCs w:val="20"/>
        </w:rPr>
        <w:t>time spent in general education classrooms or the two</w:t>
      </w:r>
      <w:r w:rsidR="00E73E81" w:rsidRPr="00F06923">
        <w:rPr>
          <w:rFonts w:ascii="Times New Roman" w:hAnsi="Times New Roman"/>
          <w:sz w:val="20"/>
          <w:szCs w:val="20"/>
        </w:rPr>
        <w:t xml:space="preserve"> measures of curricular access. </w:t>
      </w:r>
    </w:p>
    <w:p w:rsidR="00EA6531" w:rsidRDefault="00EA6531" w:rsidP="00E16B14">
      <w:pPr>
        <w:spacing w:after="0" w:line="240" w:lineRule="auto"/>
        <w:contextualSpacing/>
        <w:jc w:val="both"/>
        <w:rPr>
          <w:rFonts w:ascii="Times New Roman" w:hAnsi="Times New Roman"/>
          <w:b/>
          <w:bCs/>
          <w:sz w:val="20"/>
          <w:szCs w:val="20"/>
        </w:rPr>
      </w:pPr>
    </w:p>
    <w:p w:rsidR="00F77910" w:rsidRPr="00F06923" w:rsidRDefault="000E5EA8" w:rsidP="00E16B14">
      <w:pPr>
        <w:spacing w:after="0" w:line="240" w:lineRule="auto"/>
        <w:contextualSpacing/>
        <w:jc w:val="both"/>
        <w:rPr>
          <w:rFonts w:ascii="Times New Roman" w:hAnsi="Times New Roman"/>
          <w:b/>
          <w:bCs/>
          <w:sz w:val="20"/>
          <w:szCs w:val="20"/>
        </w:rPr>
      </w:pPr>
      <w:r w:rsidRPr="00F06923">
        <w:rPr>
          <w:rFonts w:ascii="Times New Roman" w:hAnsi="Times New Roman"/>
          <w:b/>
          <w:bCs/>
          <w:sz w:val="20"/>
          <w:szCs w:val="20"/>
        </w:rPr>
        <w:t xml:space="preserve">Discussion </w:t>
      </w:r>
    </w:p>
    <w:p w:rsidR="00B9697B" w:rsidRPr="00F06923" w:rsidRDefault="00BC6DBD" w:rsidP="00EA6531">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 xml:space="preserve">As </w:t>
      </w:r>
      <w:r w:rsidR="00613BE4" w:rsidRPr="00F06923">
        <w:rPr>
          <w:rFonts w:ascii="Times New Roman" w:hAnsi="Times New Roman"/>
          <w:bCs/>
          <w:sz w:val="20"/>
          <w:szCs w:val="20"/>
        </w:rPr>
        <w:t xml:space="preserve">schools and educators work </w:t>
      </w:r>
      <w:r w:rsidRPr="00F06923">
        <w:rPr>
          <w:rFonts w:ascii="Times New Roman" w:hAnsi="Times New Roman"/>
          <w:bCs/>
          <w:sz w:val="20"/>
          <w:szCs w:val="20"/>
        </w:rPr>
        <w:t xml:space="preserve">towards </w:t>
      </w:r>
      <w:r w:rsidR="002740E1" w:rsidRPr="00F06923">
        <w:rPr>
          <w:rFonts w:ascii="Times New Roman" w:hAnsi="Times New Roman"/>
          <w:bCs/>
          <w:sz w:val="20"/>
          <w:szCs w:val="20"/>
        </w:rPr>
        <w:t xml:space="preserve">increased </w:t>
      </w:r>
      <w:r w:rsidR="00021FE3" w:rsidRPr="00F06923">
        <w:rPr>
          <w:rFonts w:ascii="Times New Roman" w:hAnsi="Times New Roman"/>
          <w:bCs/>
          <w:sz w:val="20"/>
          <w:szCs w:val="20"/>
        </w:rPr>
        <w:t xml:space="preserve">expectations for greater access to and improved performance on general education skills and concepts, </w:t>
      </w:r>
      <w:r w:rsidRPr="00F06923">
        <w:rPr>
          <w:rFonts w:ascii="Times New Roman" w:hAnsi="Times New Roman"/>
          <w:bCs/>
          <w:sz w:val="20"/>
          <w:szCs w:val="20"/>
        </w:rPr>
        <w:t>it is important to review and examine the factors that aid</w:t>
      </w:r>
      <w:r w:rsidR="00021FE3" w:rsidRPr="00F06923">
        <w:rPr>
          <w:rFonts w:ascii="Times New Roman" w:hAnsi="Times New Roman"/>
          <w:bCs/>
          <w:sz w:val="20"/>
          <w:szCs w:val="20"/>
        </w:rPr>
        <w:t xml:space="preserve"> students with disabilities</w:t>
      </w:r>
      <w:r w:rsidRPr="00F06923">
        <w:rPr>
          <w:rFonts w:ascii="Times New Roman" w:hAnsi="Times New Roman"/>
          <w:bCs/>
          <w:sz w:val="20"/>
          <w:szCs w:val="20"/>
        </w:rPr>
        <w:t xml:space="preserve"> in </w:t>
      </w:r>
      <w:r w:rsidR="00021FE3" w:rsidRPr="00F06923">
        <w:rPr>
          <w:rFonts w:ascii="Times New Roman" w:hAnsi="Times New Roman"/>
          <w:bCs/>
          <w:sz w:val="20"/>
          <w:szCs w:val="20"/>
        </w:rPr>
        <w:t>attaining these</w:t>
      </w:r>
      <w:r w:rsidRPr="00F06923">
        <w:rPr>
          <w:rFonts w:ascii="Times New Roman" w:hAnsi="Times New Roman"/>
          <w:bCs/>
          <w:sz w:val="20"/>
          <w:szCs w:val="20"/>
        </w:rPr>
        <w:t xml:space="preserve"> goals. The results of this study provide evidence regarding the quality of IEPs and provision </w:t>
      </w:r>
      <w:r w:rsidR="00E17F24" w:rsidRPr="00F06923">
        <w:rPr>
          <w:rFonts w:ascii="Times New Roman" w:hAnsi="Times New Roman"/>
          <w:bCs/>
          <w:sz w:val="20"/>
          <w:szCs w:val="20"/>
        </w:rPr>
        <w:t>for</w:t>
      </w:r>
      <w:r w:rsidRPr="00F06923">
        <w:rPr>
          <w:rFonts w:ascii="Times New Roman" w:hAnsi="Times New Roman"/>
          <w:bCs/>
          <w:sz w:val="20"/>
          <w:szCs w:val="20"/>
        </w:rPr>
        <w:t xml:space="preserve"> curricular access for students with disabilities.  Ratings </w:t>
      </w:r>
      <w:r w:rsidR="00021FE3" w:rsidRPr="00F06923">
        <w:rPr>
          <w:rFonts w:ascii="Times New Roman" w:hAnsi="Times New Roman"/>
          <w:bCs/>
          <w:sz w:val="20"/>
          <w:szCs w:val="20"/>
        </w:rPr>
        <w:t>on</w:t>
      </w:r>
      <w:r w:rsidRPr="00F06923">
        <w:rPr>
          <w:rFonts w:ascii="Times New Roman" w:hAnsi="Times New Roman"/>
          <w:bCs/>
          <w:sz w:val="20"/>
          <w:szCs w:val="20"/>
        </w:rPr>
        <w:t xml:space="preserve"> the IEP analysis tool suggest that students’ IEP goals are of variable quality.  Academic-focused IEP goals were more likely to include sufficient information about links to the curriculum standards and progress monitoring</w:t>
      </w:r>
      <w:r w:rsidR="00ED4625" w:rsidRPr="00F06923">
        <w:rPr>
          <w:rFonts w:ascii="Times New Roman" w:hAnsi="Times New Roman"/>
          <w:bCs/>
          <w:sz w:val="20"/>
          <w:szCs w:val="20"/>
        </w:rPr>
        <w:t xml:space="preserve"> strategies</w:t>
      </w:r>
      <w:r w:rsidRPr="00F06923">
        <w:rPr>
          <w:rFonts w:ascii="Times New Roman" w:hAnsi="Times New Roman"/>
          <w:bCs/>
          <w:sz w:val="20"/>
          <w:szCs w:val="20"/>
        </w:rPr>
        <w:t xml:space="preserve">, but less frequently included </w:t>
      </w:r>
      <w:r w:rsidR="00ED4625" w:rsidRPr="00F06923">
        <w:rPr>
          <w:rFonts w:ascii="Times New Roman" w:hAnsi="Times New Roman"/>
          <w:bCs/>
          <w:sz w:val="20"/>
          <w:szCs w:val="20"/>
        </w:rPr>
        <w:t xml:space="preserve">sufficient </w:t>
      </w:r>
      <w:r w:rsidRPr="00F06923">
        <w:rPr>
          <w:rFonts w:ascii="Times New Roman" w:hAnsi="Times New Roman"/>
          <w:bCs/>
          <w:sz w:val="20"/>
          <w:szCs w:val="20"/>
        </w:rPr>
        <w:t>information about students’ present levels of performance (PLOP) and</w:t>
      </w:r>
      <w:r w:rsidR="00ED4625" w:rsidRPr="00F06923">
        <w:rPr>
          <w:rFonts w:ascii="Times New Roman" w:hAnsi="Times New Roman"/>
          <w:bCs/>
          <w:sz w:val="20"/>
          <w:szCs w:val="20"/>
        </w:rPr>
        <w:t xml:space="preserve"> the</w:t>
      </w:r>
      <w:r w:rsidRPr="00F06923">
        <w:rPr>
          <w:rFonts w:ascii="Times New Roman" w:hAnsi="Times New Roman"/>
          <w:bCs/>
          <w:sz w:val="20"/>
          <w:szCs w:val="20"/>
        </w:rPr>
        <w:t xml:space="preserve"> relevance of </w:t>
      </w:r>
      <w:r w:rsidR="00ED4625" w:rsidRPr="00F06923">
        <w:rPr>
          <w:rFonts w:ascii="Times New Roman" w:hAnsi="Times New Roman"/>
          <w:bCs/>
          <w:sz w:val="20"/>
          <w:szCs w:val="20"/>
        </w:rPr>
        <w:t xml:space="preserve">IEP </w:t>
      </w:r>
      <w:r w:rsidRPr="00F06923">
        <w:rPr>
          <w:rFonts w:ascii="Times New Roman" w:hAnsi="Times New Roman"/>
          <w:bCs/>
          <w:sz w:val="20"/>
          <w:szCs w:val="20"/>
        </w:rPr>
        <w:t xml:space="preserve">goals to the students’ educational needs.  Supporting better data collection and reporting about </w:t>
      </w:r>
      <w:r w:rsidR="00613BE4" w:rsidRPr="00F06923">
        <w:rPr>
          <w:rFonts w:ascii="Times New Roman" w:hAnsi="Times New Roman"/>
          <w:bCs/>
          <w:sz w:val="20"/>
          <w:szCs w:val="20"/>
        </w:rPr>
        <w:t xml:space="preserve">students’ </w:t>
      </w:r>
      <w:r w:rsidRPr="00F06923">
        <w:rPr>
          <w:rFonts w:ascii="Times New Roman" w:hAnsi="Times New Roman"/>
          <w:bCs/>
          <w:sz w:val="20"/>
          <w:szCs w:val="20"/>
        </w:rPr>
        <w:t>PLOP may be an important training objective because it appears to influence access to the general curriculum</w:t>
      </w:r>
      <w:r w:rsidR="00B671BB" w:rsidRPr="00F06923">
        <w:rPr>
          <w:rFonts w:ascii="Times New Roman" w:hAnsi="Times New Roman"/>
          <w:bCs/>
          <w:sz w:val="20"/>
          <w:szCs w:val="20"/>
        </w:rPr>
        <w:t xml:space="preserve"> and also the type of instructional tasks </w:t>
      </w:r>
      <w:r w:rsidR="00E30777" w:rsidRPr="00F06923">
        <w:rPr>
          <w:rFonts w:ascii="Times New Roman" w:hAnsi="Times New Roman"/>
          <w:bCs/>
          <w:sz w:val="20"/>
          <w:szCs w:val="20"/>
        </w:rPr>
        <w:t>they are provided.</w:t>
      </w:r>
      <w:r w:rsidRPr="00F06923">
        <w:rPr>
          <w:rFonts w:ascii="Times New Roman" w:hAnsi="Times New Roman"/>
          <w:bCs/>
          <w:sz w:val="20"/>
          <w:szCs w:val="20"/>
        </w:rPr>
        <w:t xml:space="preserve"> </w:t>
      </w:r>
      <w:r w:rsidR="00B9697B" w:rsidRPr="00F06923">
        <w:rPr>
          <w:rFonts w:ascii="Times New Roman" w:hAnsi="Times New Roman"/>
          <w:bCs/>
          <w:sz w:val="20"/>
          <w:szCs w:val="20"/>
        </w:rPr>
        <w:t>In his review of various nations</w:t>
      </w:r>
      <w:r w:rsidR="00677FA3" w:rsidRPr="00F06923">
        <w:rPr>
          <w:rFonts w:ascii="Times New Roman" w:hAnsi="Times New Roman"/>
          <w:bCs/>
          <w:sz w:val="20"/>
          <w:szCs w:val="20"/>
        </w:rPr>
        <w:t>’</w:t>
      </w:r>
      <w:r w:rsidR="00B9697B" w:rsidRPr="00F06923">
        <w:rPr>
          <w:rFonts w:ascii="Times New Roman" w:hAnsi="Times New Roman"/>
          <w:bCs/>
          <w:sz w:val="20"/>
          <w:szCs w:val="20"/>
        </w:rPr>
        <w:t xml:space="preserve"> IEP policies, </w:t>
      </w:r>
      <w:proofErr w:type="spellStart"/>
      <w:r w:rsidR="00B9697B" w:rsidRPr="00F06923">
        <w:rPr>
          <w:rFonts w:ascii="Times New Roman" w:hAnsi="Times New Roman"/>
          <w:bCs/>
          <w:sz w:val="20"/>
          <w:szCs w:val="20"/>
        </w:rPr>
        <w:t>McCausland</w:t>
      </w:r>
      <w:proofErr w:type="spellEnd"/>
      <w:r w:rsidR="00B9697B" w:rsidRPr="00F06923">
        <w:rPr>
          <w:rFonts w:ascii="Times New Roman" w:hAnsi="Times New Roman"/>
          <w:bCs/>
          <w:sz w:val="20"/>
          <w:szCs w:val="20"/>
        </w:rPr>
        <w:t xml:space="preserve"> (2005) suggested that policymakers endorse the use of a variety of assessment strategies rather than solely relying on standardized assessments. In particular, he highlighted the key principals of assessment identified by the New Zealand </w:t>
      </w:r>
      <w:r w:rsidR="00677FA3" w:rsidRPr="00F06923">
        <w:rPr>
          <w:rFonts w:ascii="Times New Roman" w:hAnsi="Times New Roman"/>
          <w:bCs/>
          <w:sz w:val="20"/>
          <w:szCs w:val="20"/>
        </w:rPr>
        <w:t>Ministry of Education, including the following:</w:t>
      </w:r>
    </w:p>
    <w:p w:rsidR="00677FA3" w:rsidRPr="00F06923" w:rsidRDefault="00677FA3" w:rsidP="00EA6531">
      <w:pPr>
        <w:numPr>
          <w:ilvl w:val="0"/>
          <w:numId w:val="4"/>
        </w:numPr>
        <w:autoSpaceDE w:val="0"/>
        <w:autoSpaceDN w:val="0"/>
        <w:adjustRightInd w:val="0"/>
        <w:spacing w:after="0" w:line="240" w:lineRule="auto"/>
        <w:jc w:val="both"/>
        <w:rPr>
          <w:rFonts w:ascii="Times New Roman" w:hAnsi="Times New Roman"/>
          <w:sz w:val="20"/>
          <w:szCs w:val="20"/>
        </w:rPr>
      </w:pPr>
      <w:r w:rsidRPr="00F06923">
        <w:rPr>
          <w:rFonts w:ascii="Times New Roman" w:hAnsi="Times New Roman"/>
          <w:sz w:val="20"/>
          <w:szCs w:val="20"/>
        </w:rPr>
        <w:t>The assessment process should be part of the learning process whenever possible;</w:t>
      </w:r>
    </w:p>
    <w:p w:rsidR="00677FA3" w:rsidRPr="00F06923" w:rsidRDefault="00677FA3" w:rsidP="00EA6531">
      <w:pPr>
        <w:numPr>
          <w:ilvl w:val="0"/>
          <w:numId w:val="4"/>
        </w:numPr>
        <w:autoSpaceDE w:val="0"/>
        <w:autoSpaceDN w:val="0"/>
        <w:adjustRightInd w:val="0"/>
        <w:spacing w:after="0" w:line="240" w:lineRule="auto"/>
        <w:jc w:val="both"/>
        <w:rPr>
          <w:rFonts w:ascii="Times New Roman" w:hAnsi="Times New Roman"/>
          <w:sz w:val="20"/>
          <w:szCs w:val="20"/>
        </w:rPr>
      </w:pPr>
      <w:r w:rsidRPr="00F06923">
        <w:rPr>
          <w:rFonts w:ascii="Times New Roman" w:hAnsi="Times New Roman"/>
          <w:sz w:val="20"/>
          <w:szCs w:val="20"/>
        </w:rPr>
        <w:t>Assessment methods and contexts may vary according to the needs of individual students; and</w:t>
      </w:r>
    </w:p>
    <w:p w:rsidR="00B9697B" w:rsidRPr="00F06923" w:rsidRDefault="00677FA3" w:rsidP="00EA6531">
      <w:pPr>
        <w:numPr>
          <w:ilvl w:val="0"/>
          <w:numId w:val="4"/>
        </w:numPr>
        <w:autoSpaceDE w:val="0"/>
        <w:autoSpaceDN w:val="0"/>
        <w:adjustRightInd w:val="0"/>
        <w:spacing w:after="0" w:line="240" w:lineRule="auto"/>
        <w:jc w:val="both"/>
        <w:rPr>
          <w:rFonts w:ascii="Times New Roman" w:hAnsi="Times New Roman"/>
          <w:sz w:val="20"/>
          <w:szCs w:val="20"/>
        </w:rPr>
      </w:pPr>
      <w:r w:rsidRPr="00F06923">
        <w:rPr>
          <w:rFonts w:ascii="Times New Roman" w:hAnsi="Times New Roman"/>
          <w:sz w:val="20"/>
          <w:szCs w:val="20"/>
        </w:rPr>
        <w:t>No single assessment procedure should be used as the sole means of identifying the needs of a student (p. 25).</w:t>
      </w:r>
    </w:p>
    <w:p w:rsidR="00677FA3" w:rsidRPr="00F06923" w:rsidRDefault="00677FA3" w:rsidP="00E16B14">
      <w:pPr>
        <w:autoSpaceDE w:val="0"/>
        <w:autoSpaceDN w:val="0"/>
        <w:adjustRightInd w:val="0"/>
        <w:spacing w:after="0" w:line="240" w:lineRule="auto"/>
        <w:jc w:val="both"/>
        <w:rPr>
          <w:rFonts w:ascii="Times New Roman" w:hAnsi="Times New Roman"/>
          <w:sz w:val="20"/>
          <w:szCs w:val="20"/>
        </w:rPr>
      </w:pPr>
      <w:r w:rsidRPr="00F06923">
        <w:rPr>
          <w:rFonts w:ascii="Times New Roman" w:hAnsi="Times New Roman"/>
          <w:sz w:val="20"/>
          <w:szCs w:val="20"/>
        </w:rPr>
        <w:t xml:space="preserve">Helping teachers utilize a variety of classroom-based assessment and data collection strategies (e.g., curriculum-based measurement, portfolios, </w:t>
      </w:r>
      <w:proofErr w:type="gramStart"/>
      <w:r w:rsidRPr="00F06923">
        <w:rPr>
          <w:rFonts w:ascii="Times New Roman" w:hAnsi="Times New Roman"/>
          <w:sz w:val="20"/>
          <w:szCs w:val="20"/>
        </w:rPr>
        <w:t>anecdotal</w:t>
      </w:r>
      <w:proofErr w:type="gramEnd"/>
      <w:r w:rsidRPr="00F06923">
        <w:rPr>
          <w:rFonts w:ascii="Times New Roman" w:hAnsi="Times New Roman"/>
          <w:sz w:val="20"/>
          <w:szCs w:val="20"/>
        </w:rPr>
        <w:t xml:space="preserve"> records) remains a challenge regardless of national context.</w:t>
      </w:r>
    </w:p>
    <w:p w:rsidR="00EA6531" w:rsidRDefault="00EA6531" w:rsidP="00EA6531">
      <w:pPr>
        <w:spacing w:after="0" w:line="240" w:lineRule="auto"/>
        <w:contextualSpacing/>
        <w:jc w:val="both"/>
        <w:rPr>
          <w:rFonts w:ascii="Times New Roman" w:hAnsi="Times New Roman"/>
          <w:bCs/>
          <w:sz w:val="20"/>
          <w:szCs w:val="20"/>
        </w:rPr>
      </w:pPr>
    </w:p>
    <w:p w:rsidR="006E1BF6" w:rsidRPr="00F06923" w:rsidRDefault="00BC6DBD" w:rsidP="00EA6531">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Ratings on the IEP analysis tool generally did not suggest differences in quality</w:t>
      </w:r>
      <w:r w:rsidR="004A75BC" w:rsidRPr="00F06923">
        <w:rPr>
          <w:rFonts w:ascii="Times New Roman" w:hAnsi="Times New Roman"/>
          <w:bCs/>
          <w:sz w:val="20"/>
          <w:szCs w:val="20"/>
        </w:rPr>
        <w:t xml:space="preserve"> of IEP goals</w:t>
      </w:r>
      <w:r w:rsidRPr="00F06923">
        <w:rPr>
          <w:rFonts w:ascii="Times New Roman" w:hAnsi="Times New Roman"/>
          <w:bCs/>
          <w:sz w:val="20"/>
          <w:szCs w:val="20"/>
        </w:rPr>
        <w:t xml:space="preserve"> across grade band</w:t>
      </w:r>
      <w:r w:rsidR="00ED4625" w:rsidRPr="00F06923">
        <w:rPr>
          <w:rFonts w:ascii="Times New Roman" w:hAnsi="Times New Roman"/>
          <w:bCs/>
          <w:sz w:val="20"/>
          <w:szCs w:val="20"/>
        </w:rPr>
        <w:t>s</w:t>
      </w:r>
      <w:r w:rsidRPr="00F06923">
        <w:rPr>
          <w:rFonts w:ascii="Times New Roman" w:hAnsi="Times New Roman"/>
          <w:bCs/>
          <w:sz w:val="20"/>
          <w:szCs w:val="20"/>
        </w:rPr>
        <w:t>. There was, however, a significant difference in the mean percenta</w:t>
      </w:r>
      <w:r w:rsidR="004A75BC" w:rsidRPr="00F06923">
        <w:rPr>
          <w:rFonts w:ascii="Times New Roman" w:hAnsi="Times New Roman"/>
          <w:bCs/>
          <w:sz w:val="20"/>
          <w:szCs w:val="20"/>
        </w:rPr>
        <w:t>ge of academic-focused IEP goals with elementary students’ IEPs including a greater percentage of academic-focused goals</w:t>
      </w:r>
      <w:r w:rsidRPr="00F06923">
        <w:rPr>
          <w:rFonts w:ascii="Times New Roman" w:hAnsi="Times New Roman"/>
          <w:bCs/>
          <w:sz w:val="20"/>
          <w:szCs w:val="20"/>
        </w:rPr>
        <w:t xml:space="preserve">. This may be due to the inclusion of more </w:t>
      </w:r>
      <w:r w:rsidR="00677FA3" w:rsidRPr="00F06923">
        <w:rPr>
          <w:rFonts w:ascii="Times New Roman" w:hAnsi="Times New Roman"/>
          <w:bCs/>
          <w:sz w:val="20"/>
          <w:szCs w:val="20"/>
        </w:rPr>
        <w:t>transition-focused</w:t>
      </w:r>
      <w:r w:rsidRPr="00F06923">
        <w:rPr>
          <w:rFonts w:ascii="Times New Roman" w:hAnsi="Times New Roman"/>
          <w:bCs/>
          <w:sz w:val="20"/>
          <w:szCs w:val="20"/>
        </w:rPr>
        <w:t xml:space="preserve"> goals at the middle school level</w:t>
      </w:r>
      <w:r w:rsidR="00232920" w:rsidRPr="00F06923">
        <w:rPr>
          <w:rFonts w:ascii="Times New Roman" w:hAnsi="Times New Roman"/>
          <w:bCs/>
          <w:sz w:val="20"/>
          <w:szCs w:val="20"/>
        </w:rPr>
        <w:t xml:space="preserve"> or the difficulties of making middle school </w:t>
      </w:r>
      <w:r w:rsidR="004A75BC" w:rsidRPr="00F06923">
        <w:rPr>
          <w:rFonts w:ascii="Times New Roman" w:hAnsi="Times New Roman"/>
          <w:bCs/>
          <w:sz w:val="20"/>
          <w:szCs w:val="20"/>
        </w:rPr>
        <w:t xml:space="preserve">reading, </w:t>
      </w:r>
      <w:r w:rsidR="00ED4625" w:rsidRPr="00F06923">
        <w:rPr>
          <w:rFonts w:ascii="Times New Roman" w:hAnsi="Times New Roman"/>
          <w:bCs/>
          <w:sz w:val="20"/>
          <w:szCs w:val="20"/>
        </w:rPr>
        <w:t>math</w:t>
      </w:r>
      <w:r w:rsidR="00371432" w:rsidRPr="00F06923">
        <w:rPr>
          <w:rFonts w:ascii="Times New Roman" w:hAnsi="Times New Roman"/>
          <w:bCs/>
          <w:sz w:val="20"/>
          <w:szCs w:val="20"/>
        </w:rPr>
        <w:t>ematics</w:t>
      </w:r>
      <w:r w:rsidR="004A75BC" w:rsidRPr="00F06923">
        <w:rPr>
          <w:rFonts w:ascii="Times New Roman" w:hAnsi="Times New Roman"/>
          <w:bCs/>
          <w:sz w:val="20"/>
          <w:szCs w:val="20"/>
        </w:rPr>
        <w:t>, and social studies</w:t>
      </w:r>
      <w:r w:rsidR="00ED4625" w:rsidRPr="00F06923">
        <w:rPr>
          <w:rFonts w:ascii="Times New Roman" w:hAnsi="Times New Roman"/>
          <w:bCs/>
          <w:sz w:val="20"/>
          <w:szCs w:val="20"/>
        </w:rPr>
        <w:t xml:space="preserve"> </w:t>
      </w:r>
      <w:r w:rsidR="00232920" w:rsidRPr="00F06923">
        <w:rPr>
          <w:rFonts w:ascii="Times New Roman" w:hAnsi="Times New Roman"/>
          <w:bCs/>
          <w:sz w:val="20"/>
          <w:szCs w:val="20"/>
        </w:rPr>
        <w:t>concepts accessible for students with disabilities</w:t>
      </w:r>
      <w:r w:rsidRPr="00F06923">
        <w:rPr>
          <w:rFonts w:ascii="Times New Roman" w:hAnsi="Times New Roman"/>
          <w:bCs/>
          <w:sz w:val="20"/>
          <w:szCs w:val="20"/>
        </w:rPr>
        <w:t>.</w:t>
      </w:r>
      <w:r w:rsidR="002B2EDA" w:rsidRPr="00F06923">
        <w:rPr>
          <w:rFonts w:ascii="Times New Roman" w:hAnsi="Times New Roman"/>
          <w:bCs/>
          <w:sz w:val="20"/>
          <w:szCs w:val="20"/>
        </w:rPr>
        <w:t xml:space="preserve"> </w:t>
      </w:r>
      <w:r w:rsidR="00677FA3" w:rsidRPr="00F06923">
        <w:rPr>
          <w:rFonts w:ascii="Times New Roman" w:hAnsi="Times New Roman"/>
          <w:bCs/>
          <w:sz w:val="20"/>
          <w:szCs w:val="20"/>
        </w:rPr>
        <w:t xml:space="preserve"> The inclusion of transition-related plans and services is a concern of a variety of nations’ IEP policies</w:t>
      </w:r>
      <w:r w:rsidR="006E1BF6" w:rsidRPr="00F06923">
        <w:rPr>
          <w:rFonts w:ascii="Times New Roman" w:hAnsi="Times New Roman"/>
          <w:bCs/>
          <w:sz w:val="20"/>
          <w:szCs w:val="20"/>
        </w:rPr>
        <w:t xml:space="preserve">. </w:t>
      </w:r>
      <w:proofErr w:type="spellStart"/>
      <w:r w:rsidR="006E1BF6" w:rsidRPr="00F06923">
        <w:rPr>
          <w:rFonts w:ascii="Times New Roman" w:hAnsi="Times New Roman"/>
          <w:bCs/>
          <w:sz w:val="20"/>
          <w:szCs w:val="20"/>
        </w:rPr>
        <w:t>McCausland</w:t>
      </w:r>
      <w:proofErr w:type="spellEnd"/>
      <w:r w:rsidR="006E1BF6" w:rsidRPr="00F06923">
        <w:rPr>
          <w:rFonts w:ascii="Times New Roman" w:hAnsi="Times New Roman"/>
          <w:bCs/>
          <w:sz w:val="20"/>
          <w:szCs w:val="20"/>
        </w:rPr>
        <w:t xml:space="preserve"> (2005) makes a number of recommendations for including transiti</w:t>
      </w:r>
      <w:r w:rsidR="005C7EDB">
        <w:rPr>
          <w:rFonts w:ascii="Times New Roman" w:hAnsi="Times New Roman"/>
          <w:bCs/>
          <w:sz w:val="20"/>
          <w:szCs w:val="20"/>
        </w:rPr>
        <w:t xml:space="preserve">on elements in IEPs, including </w:t>
      </w:r>
      <w:r w:rsidR="006E1BF6" w:rsidRPr="005C7EDB">
        <w:rPr>
          <w:rFonts w:ascii="Times New Roman" w:hAnsi="Times New Roman"/>
          <w:i/>
          <w:sz w:val="20"/>
          <w:szCs w:val="20"/>
        </w:rPr>
        <w:t>ensuring that students with disabilities have access to the full range of general</w:t>
      </w:r>
      <w:r w:rsidR="006E1BF6" w:rsidRPr="005C7EDB">
        <w:rPr>
          <w:rFonts w:ascii="Times New Roman" w:hAnsi="Times New Roman"/>
          <w:bCs/>
          <w:i/>
          <w:sz w:val="20"/>
          <w:szCs w:val="20"/>
        </w:rPr>
        <w:t xml:space="preserve"> </w:t>
      </w:r>
      <w:r w:rsidR="006E1BF6" w:rsidRPr="005C7EDB">
        <w:rPr>
          <w:rFonts w:ascii="Times New Roman" w:hAnsi="Times New Roman"/>
          <w:i/>
          <w:sz w:val="20"/>
          <w:szCs w:val="20"/>
        </w:rPr>
        <w:t>education curricular options and learning experiences</w:t>
      </w:r>
      <w:r w:rsidR="006E1BF6" w:rsidRPr="00F06923">
        <w:rPr>
          <w:rFonts w:ascii="Times New Roman" w:hAnsi="Times New Roman"/>
          <w:sz w:val="20"/>
          <w:szCs w:val="20"/>
        </w:rPr>
        <w:t xml:space="preserve"> (p. 54). Additional work is needed to help secondary teachers identify resources and modifications that facilitate students’ access to grade-level curricular concepts and skills.</w:t>
      </w:r>
    </w:p>
    <w:p w:rsidR="00EA6531" w:rsidRDefault="00EA6531" w:rsidP="00EA6531">
      <w:pPr>
        <w:spacing w:after="0" w:line="240" w:lineRule="auto"/>
        <w:contextualSpacing/>
        <w:jc w:val="both"/>
        <w:rPr>
          <w:rFonts w:ascii="Times New Roman" w:hAnsi="Times New Roman"/>
          <w:bCs/>
          <w:sz w:val="20"/>
          <w:szCs w:val="20"/>
        </w:rPr>
      </w:pPr>
    </w:p>
    <w:p w:rsidR="004F4D04" w:rsidRPr="00F06923" w:rsidRDefault="004A75BC" w:rsidP="00EA6531">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The quality of IEP goals demonstrated a very lim</w:t>
      </w:r>
      <w:r w:rsidR="006E1BF6" w:rsidRPr="00F06923">
        <w:rPr>
          <w:rFonts w:ascii="Times New Roman" w:hAnsi="Times New Roman"/>
          <w:bCs/>
          <w:sz w:val="20"/>
          <w:szCs w:val="20"/>
        </w:rPr>
        <w:t xml:space="preserve">ited relationship to students’ large-scale </w:t>
      </w:r>
      <w:r w:rsidRPr="00F06923">
        <w:rPr>
          <w:rFonts w:ascii="Times New Roman" w:hAnsi="Times New Roman"/>
          <w:bCs/>
          <w:sz w:val="20"/>
          <w:szCs w:val="20"/>
        </w:rPr>
        <w:t xml:space="preserve">test performance. In fact, greater specification of progress monitoring strategies was associated with lower performance on the ISTEP. </w:t>
      </w:r>
      <w:r w:rsidR="00FB63A4" w:rsidRPr="00F06923">
        <w:rPr>
          <w:rFonts w:ascii="Times New Roman" w:hAnsi="Times New Roman"/>
          <w:bCs/>
          <w:sz w:val="20"/>
          <w:szCs w:val="20"/>
        </w:rPr>
        <w:t>Moreover, IEP quality rati</w:t>
      </w:r>
      <w:r w:rsidR="004F4D04" w:rsidRPr="00F06923">
        <w:rPr>
          <w:rFonts w:ascii="Times New Roman" w:hAnsi="Times New Roman"/>
          <w:bCs/>
          <w:sz w:val="20"/>
          <w:szCs w:val="20"/>
        </w:rPr>
        <w:t>ngs demonstrated no significant</w:t>
      </w:r>
      <w:r w:rsidR="00FB63A4" w:rsidRPr="00F06923">
        <w:rPr>
          <w:rFonts w:ascii="Times New Roman" w:hAnsi="Times New Roman"/>
          <w:bCs/>
          <w:sz w:val="20"/>
          <w:szCs w:val="20"/>
        </w:rPr>
        <w:t xml:space="preserve"> association with a variety of measures of curricular access and inclusion. </w:t>
      </w:r>
      <w:r w:rsidRPr="00F06923">
        <w:rPr>
          <w:rFonts w:ascii="Times New Roman" w:hAnsi="Times New Roman"/>
          <w:bCs/>
          <w:sz w:val="20"/>
          <w:szCs w:val="20"/>
        </w:rPr>
        <w:t xml:space="preserve">These results are disappointing in light of the resources many </w:t>
      </w:r>
      <w:r w:rsidR="006E1BF6" w:rsidRPr="00F06923">
        <w:rPr>
          <w:rFonts w:ascii="Times New Roman" w:hAnsi="Times New Roman"/>
          <w:bCs/>
          <w:sz w:val="20"/>
          <w:szCs w:val="20"/>
        </w:rPr>
        <w:t>educational systems</w:t>
      </w:r>
      <w:r w:rsidRPr="00F06923">
        <w:rPr>
          <w:rFonts w:ascii="Times New Roman" w:hAnsi="Times New Roman"/>
          <w:bCs/>
          <w:sz w:val="20"/>
          <w:szCs w:val="20"/>
        </w:rPr>
        <w:t xml:space="preserve"> commit to professional development and resources to support IEP quality. </w:t>
      </w:r>
      <w:r w:rsidR="00FB63A4" w:rsidRPr="00F06923">
        <w:rPr>
          <w:rFonts w:ascii="Times New Roman" w:hAnsi="Times New Roman"/>
          <w:bCs/>
          <w:sz w:val="20"/>
          <w:szCs w:val="20"/>
        </w:rPr>
        <w:t xml:space="preserve">In addition, these results represent </w:t>
      </w:r>
      <w:proofErr w:type="gramStart"/>
      <w:r w:rsidR="00FB63A4" w:rsidRPr="00F06923">
        <w:rPr>
          <w:rFonts w:ascii="Times New Roman" w:hAnsi="Times New Roman"/>
          <w:bCs/>
          <w:sz w:val="20"/>
          <w:szCs w:val="20"/>
        </w:rPr>
        <w:t>a disconnect</w:t>
      </w:r>
      <w:proofErr w:type="gramEnd"/>
      <w:r w:rsidR="00FB63A4" w:rsidRPr="00F06923">
        <w:rPr>
          <w:rFonts w:ascii="Times New Roman" w:hAnsi="Times New Roman"/>
          <w:bCs/>
          <w:sz w:val="20"/>
          <w:szCs w:val="20"/>
        </w:rPr>
        <w:t xml:space="preserve"> with </w:t>
      </w:r>
      <w:r w:rsidR="006E1BF6" w:rsidRPr="00F06923">
        <w:rPr>
          <w:rFonts w:ascii="Times New Roman" w:hAnsi="Times New Roman"/>
          <w:bCs/>
          <w:sz w:val="20"/>
          <w:szCs w:val="20"/>
        </w:rPr>
        <w:t xml:space="preserve">national </w:t>
      </w:r>
      <w:r w:rsidR="00FB63A4" w:rsidRPr="00F06923">
        <w:rPr>
          <w:rFonts w:ascii="Times New Roman" w:hAnsi="Times New Roman"/>
          <w:bCs/>
          <w:sz w:val="20"/>
          <w:szCs w:val="20"/>
        </w:rPr>
        <w:t>polic</w:t>
      </w:r>
      <w:r w:rsidR="00CD5741" w:rsidRPr="00F06923">
        <w:rPr>
          <w:rFonts w:ascii="Times New Roman" w:hAnsi="Times New Roman"/>
          <w:bCs/>
          <w:sz w:val="20"/>
          <w:szCs w:val="20"/>
        </w:rPr>
        <w:t>ies</w:t>
      </w:r>
      <w:r w:rsidR="00FB63A4" w:rsidRPr="00F06923">
        <w:rPr>
          <w:rFonts w:ascii="Times New Roman" w:hAnsi="Times New Roman"/>
          <w:bCs/>
          <w:sz w:val="20"/>
          <w:szCs w:val="20"/>
        </w:rPr>
        <w:t xml:space="preserve"> (Ahern, 2006; </w:t>
      </w:r>
      <w:proofErr w:type="spellStart"/>
      <w:r w:rsidR="006E1BF6" w:rsidRPr="00F06923">
        <w:rPr>
          <w:rFonts w:ascii="Times New Roman" w:hAnsi="Times New Roman"/>
          <w:bCs/>
          <w:sz w:val="20"/>
          <w:szCs w:val="20"/>
        </w:rPr>
        <w:t>McCausland</w:t>
      </w:r>
      <w:proofErr w:type="spellEnd"/>
      <w:r w:rsidR="006E1BF6" w:rsidRPr="00F06923">
        <w:rPr>
          <w:rFonts w:ascii="Times New Roman" w:hAnsi="Times New Roman"/>
          <w:bCs/>
          <w:sz w:val="20"/>
          <w:szCs w:val="20"/>
        </w:rPr>
        <w:t>, 2005: USDE, July 2007) that promote</w:t>
      </w:r>
      <w:r w:rsidR="00FB63A4" w:rsidRPr="00F06923">
        <w:rPr>
          <w:rFonts w:ascii="Times New Roman" w:hAnsi="Times New Roman"/>
          <w:bCs/>
          <w:sz w:val="20"/>
          <w:szCs w:val="20"/>
        </w:rPr>
        <w:t xml:space="preserve"> standards-based IEPs as a pathway to curricular access and improved student performance.</w:t>
      </w:r>
      <w:r w:rsidR="006E1BF6" w:rsidRPr="00F06923">
        <w:rPr>
          <w:rFonts w:ascii="Times New Roman" w:hAnsi="Times New Roman"/>
          <w:bCs/>
          <w:sz w:val="20"/>
          <w:szCs w:val="20"/>
        </w:rPr>
        <w:t xml:space="preserve"> For example, in the United Kingdom, the effectiveness of IEPs are evaluated on whether educati</w:t>
      </w:r>
      <w:r w:rsidR="005C7EDB">
        <w:rPr>
          <w:rFonts w:ascii="Times New Roman" w:hAnsi="Times New Roman"/>
          <w:bCs/>
          <w:sz w:val="20"/>
          <w:szCs w:val="20"/>
        </w:rPr>
        <w:t xml:space="preserve">onal services </w:t>
      </w:r>
      <w:r w:rsidR="006E1BF6" w:rsidRPr="005C7EDB">
        <w:rPr>
          <w:rFonts w:ascii="Times New Roman" w:hAnsi="Times New Roman"/>
          <w:bCs/>
          <w:i/>
          <w:sz w:val="20"/>
          <w:szCs w:val="20"/>
        </w:rPr>
        <w:t>close the gap in attainment between a student and his/her peers—or stops the gap growing</w:t>
      </w:r>
      <w:r w:rsidR="006E1BF6" w:rsidRPr="00F06923">
        <w:rPr>
          <w:rFonts w:ascii="Times New Roman" w:hAnsi="Times New Roman"/>
          <w:bCs/>
          <w:sz w:val="20"/>
          <w:szCs w:val="20"/>
        </w:rPr>
        <w:t xml:space="preserve"> (</w:t>
      </w:r>
      <w:proofErr w:type="spellStart"/>
      <w:r w:rsidR="006E1BF6" w:rsidRPr="00F06923">
        <w:rPr>
          <w:rFonts w:ascii="Times New Roman" w:hAnsi="Times New Roman"/>
          <w:bCs/>
          <w:sz w:val="20"/>
          <w:szCs w:val="20"/>
        </w:rPr>
        <w:t>McCausland</w:t>
      </w:r>
      <w:proofErr w:type="spellEnd"/>
      <w:r w:rsidR="006E1BF6" w:rsidRPr="00F06923">
        <w:rPr>
          <w:rFonts w:ascii="Times New Roman" w:hAnsi="Times New Roman"/>
          <w:bCs/>
          <w:sz w:val="20"/>
          <w:szCs w:val="20"/>
        </w:rPr>
        <w:t xml:space="preserve">, 2005, p. 62). </w:t>
      </w:r>
      <w:r w:rsidR="00E824A7" w:rsidRPr="00F06923">
        <w:rPr>
          <w:rFonts w:ascii="Times New Roman" w:hAnsi="Times New Roman"/>
          <w:bCs/>
          <w:sz w:val="20"/>
          <w:szCs w:val="20"/>
        </w:rPr>
        <w:t>If, as our results suggest, there is a limited relationship between IEP quality and test scores, the utility of this metric for evaluating IEP effectiveness is questionable.</w:t>
      </w:r>
    </w:p>
    <w:p w:rsidR="00EA6531" w:rsidRDefault="00EA6531" w:rsidP="00E16B14">
      <w:pPr>
        <w:spacing w:after="0" w:line="240" w:lineRule="auto"/>
        <w:contextualSpacing/>
        <w:jc w:val="both"/>
        <w:rPr>
          <w:rFonts w:ascii="Times New Roman" w:hAnsi="Times New Roman"/>
          <w:b/>
          <w:bCs/>
          <w:sz w:val="20"/>
          <w:szCs w:val="20"/>
        </w:rPr>
      </w:pPr>
    </w:p>
    <w:p w:rsidR="004A75BC" w:rsidRPr="00EA6531" w:rsidRDefault="004A75BC" w:rsidP="00E16B14">
      <w:pPr>
        <w:spacing w:after="0" w:line="240" w:lineRule="auto"/>
        <w:contextualSpacing/>
        <w:jc w:val="both"/>
        <w:rPr>
          <w:rFonts w:ascii="Times New Roman" w:hAnsi="Times New Roman"/>
          <w:bCs/>
          <w:i/>
          <w:sz w:val="20"/>
          <w:szCs w:val="20"/>
        </w:rPr>
      </w:pPr>
      <w:r w:rsidRPr="00EA6531">
        <w:rPr>
          <w:rFonts w:ascii="Times New Roman" w:hAnsi="Times New Roman"/>
          <w:bCs/>
          <w:i/>
          <w:sz w:val="20"/>
          <w:szCs w:val="20"/>
        </w:rPr>
        <w:t>Potential Limitations</w:t>
      </w:r>
      <w:r w:rsidR="00BD22E6" w:rsidRPr="00EA6531">
        <w:rPr>
          <w:rFonts w:ascii="Times New Roman" w:hAnsi="Times New Roman"/>
          <w:bCs/>
          <w:i/>
          <w:sz w:val="20"/>
          <w:szCs w:val="20"/>
        </w:rPr>
        <w:t xml:space="preserve"> and Future Directions for Research</w:t>
      </w:r>
    </w:p>
    <w:p w:rsidR="00232920" w:rsidRPr="00F06923" w:rsidRDefault="00CD5741" w:rsidP="00EA6531">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The sample in this study may limit it</w:t>
      </w:r>
      <w:r w:rsidR="00BD22E6" w:rsidRPr="00F06923">
        <w:rPr>
          <w:rFonts w:ascii="Times New Roman" w:hAnsi="Times New Roman"/>
          <w:bCs/>
          <w:sz w:val="20"/>
          <w:szCs w:val="20"/>
        </w:rPr>
        <w:t>s generalizability to the larger population of special education teachers and students with disabilities. The p</w:t>
      </w:r>
      <w:r w:rsidR="00353CB3" w:rsidRPr="00F06923">
        <w:rPr>
          <w:rFonts w:ascii="Times New Roman" w:hAnsi="Times New Roman"/>
          <w:bCs/>
          <w:sz w:val="20"/>
          <w:szCs w:val="20"/>
        </w:rPr>
        <w:t>articipating teachers</w:t>
      </w:r>
      <w:r w:rsidR="00BD22E6" w:rsidRPr="00F06923">
        <w:rPr>
          <w:rFonts w:ascii="Times New Roman" w:hAnsi="Times New Roman"/>
          <w:bCs/>
          <w:sz w:val="20"/>
          <w:szCs w:val="20"/>
        </w:rPr>
        <w:t xml:space="preserve"> were not randomly sampled but rather selected to represent the different geographic regions of </w:t>
      </w:r>
      <w:r w:rsidR="00E824A7" w:rsidRPr="00F06923">
        <w:rPr>
          <w:rFonts w:ascii="Times New Roman" w:hAnsi="Times New Roman"/>
          <w:bCs/>
          <w:sz w:val="20"/>
          <w:szCs w:val="20"/>
        </w:rPr>
        <w:t>a single state in the United States—Indiana</w:t>
      </w:r>
      <w:r w:rsidR="00BD22E6" w:rsidRPr="00F06923">
        <w:rPr>
          <w:rFonts w:ascii="Times New Roman" w:hAnsi="Times New Roman"/>
          <w:bCs/>
          <w:sz w:val="20"/>
          <w:szCs w:val="20"/>
        </w:rPr>
        <w:t>. In addition, these teachers had</w:t>
      </w:r>
      <w:r w:rsidR="00353CB3" w:rsidRPr="00F06923">
        <w:rPr>
          <w:rFonts w:ascii="Times New Roman" w:hAnsi="Times New Roman"/>
          <w:bCs/>
          <w:sz w:val="20"/>
          <w:szCs w:val="20"/>
        </w:rPr>
        <w:t xml:space="preserve"> an average of 13.9 years of teaching experience</w:t>
      </w:r>
      <w:r w:rsidR="00BD22E6" w:rsidRPr="00F06923">
        <w:rPr>
          <w:rFonts w:ascii="Times New Roman" w:hAnsi="Times New Roman"/>
          <w:bCs/>
          <w:sz w:val="20"/>
          <w:szCs w:val="20"/>
        </w:rPr>
        <w:t>. It is possible that</w:t>
      </w:r>
      <w:r w:rsidR="00232920" w:rsidRPr="00F06923">
        <w:rPr>
          <w:rFonts w:ascii="Times New Roman" w:hAnsi="Times New Roman"/>
          <w:bCs/>
          <w:sz w:val="20"/>
          <w:szCs w:val="20"/>
        </w:rPr>
        <w:t xml:space="preserve"> the inclusion of </w:t>
      </w:r>
      <w:r w:rsidR="00593993" w:rsidRPr="00F06923">
        <w:rPr>
          <w:rFonts w:ascii="Times New Roman" w:hAnsi="Times New Roman"/>
          <w:bCs/>
          <w:sz w:val="20"/>
          <w:szCs w:val="20"/>
        </w:rPr>
        <w:t xml:space="preserve">less-experienced </w:t>
      </w:r>
      <w:r w:rsidR="00232920" w:rsidRPr="00F06923">
        <w:rPr>
          <w:rFonts w:ascii="Times New Roman" w:hAnsi="Times New Roman"/>
          <w:bCs/>
          <w:sz w:val="20"/>
          <w:szCs w:val="20"/>
        </w:rPr>
        <w:t xml:space="preserve">teachers </w:t>
      </w:r>
      <w:r w:rsidR="00BD22E6" w:rsidRPr="00F06923">
        <w:rPr>
          <w:rFonts w:ascii="Times New Roman" w:hAnsi="Times New Roman"/>
          <w:bCs/>
          <w:sz w:val="20"/>
          <w:szCs w:val="20"/>
        </w:rPr>
        <w:t>in the sample may have resulted in different IEP characteristics and</w:t>
      </w:r>
      <w:r w:rsidR="00232920" w:rsidRPr="00F06923">
        <w:rPr>
          <w:rFonts w:ascii="Times New Roman" w:hAnsi="Times New Roman"/>
          <w:bCs/>
          <w:sz w:val="20"/>
          <w:szCs w:val="20"/>
        </w:rPr>
        <w:t xml:space="preserve"> reported levels of curricular access</w:t>
      </w:r>
      <w:r w:rsidR="00BD22E6" w:rsidRPr="00F06923">
        <w:rPr>
          <w:rFonts w:ascii="Times New Roman" w:hAnsi="Times New Roman"/>
          <w:bCs/>
          <w:sz w:val="20"/>
          <w:szCs w:val="20"/>
        </w:rPr>
        <w:t>.  Additional investigations could include a random sample of special educators</w:t>
      </w:r>
      <w:r w:rsidR="00E824A7" w:rsidRPr="00F06923">
        <w:rPr>
          <w:rFonts w:ascii="Times New Roman" w:hAnsi="Times New Roman"/>
          <w:bCs/>
          <w:sz w:val="20"/>
          <w:szCs w:val="20"/>
        </w:rPr>
        <w:t>, drawn from a variety of states or nations</w:t>
      </w:r>
      <w:r w:rsidR="00BD22E6" w:rsidRPr="00F06923">
        <w:rPr>
          <w:rFonts w:ascii="Times New Roman" w:hAnsi="Times New Roman"/>
          <w:bCs/>
          <w:sz w:val="20"/>
          <w:szCs w:val="20"/>
        </w:rPr>
        <w:t xml:space="preserve">. This study was conducted as part of a larger study to validate potential test items for use on an alternate assessment based on modified achievement standards (AA-MAS). Because of this, the IEPs </w:t>
      </w:r>
      <w:r w:rsidR="00E824A7" w:rsidRPr="00F06923">
        <w:rPr>
          <w:rFonts w:ascii="Times New Roman" w:hAnsi="Times New Roman"/>
          <w:bCs/>
          <w:sz w:val="20"/>
          <w:szCs w:val="20"/>
        </w:rPr>
        <w:t xml:space="preserve">of </w:t>
      </w:r>
      <w:r w:rsidR="00BD22E6" w:rsidRPr="00F06923">
        <w:rPr>
          <w:rFonts w:ascii="Times New Roman" w:hAnsi="Times New Roman"/>
          <w:bCs/>
          <w:sz w:val="20"/>
          <w:szCs w:val="20"/>
        </w:rPr>
        <w:t xml:space="preserve">persistently low-achieving students (as defined by the </w:t>
      </w:r>
      <w:r w:rsidR="00BD22E6" w:rsidRPr="00F06923">
        <w:rPr>
          <w:rFonts w:ascii="Times New Roman" w:hAnsi="Times New Roman"/>
          <w:bCs/>
          <w:sz w:val="20"/>
          <w:szCs w:val="20"/>
        </w:rPr>
        <w:lastRenderedPageBreak/>
        <w:t>federal guidelines for AA-MAS) were selected for analysis. The focus on this sub-group of students may have resulted in a restricted range for the outcome measures of interest (i.e., state test results, CIS ratings).  Future research using the IEP analysis tool should include the IEPs of a stratified random sample of students with disabilities.</w:t>
      </w:r>
    </w:p>
    <w:p w:rsidR="00EA6531" w:rsidRDefault="00EA6531" w:rsidP="00E16B14">
      <w:pPr>
        <w:spacing w:after="0" w:line="240" w:lineRule="auto"/>
        <w:contextualSpacing/>
        <w:jc w:val="both"/>
        <w:rPr>
          <w:rFonts w:ascii="Times New Roman" w:hAnsi="Times New Roman"/>
          <w:b/>
          <w:bCs/>
          <w:sz w:val="20"/>
          <w:szCs w:val="20"/>
        </w:rPr>
      </w:pPr>
    </w:p>
    <w:p w:rsidR="00F77910" w:rsidRPr="00F06923" w:rsidRDefault="000E5EA8" w:rsidP="00E16B14">
      <w:pPr>
        <w:spacing w:after="0" w:line="240" w:lineRule="auto"/>
        <w:contextualSpacing/>
        <w:jc w:val="both"/>
        <w:rPr>
          <w:rFonts w:ascii="Times New Roman" w:hAnsi="Times New Roman"/>
          <w:b/>
          <w:bCs/>
          <w:sz w:val="20"/>
          <w:szCs w:val="20"/>
        </w:rPr>
      </w:pPr>
      <w:r w:rsidRPr="00F06923">
        <w:rPr>
          <w:rFonts w:ascii="Times New Roman" w:hAnsi="Times New Roman"/>
          <w:b/>
          <w:bCs/>
          <w:sz w:val="20"/>
          <w:szCs w:val="20"/>
        </w:rPr>
        <w:t>Conclusions</w:t>
      </w:r>
    </w:p>
    <w:p w:rsidR="00D325F3" w:rsidRPr="00F06923" w:rsidRDefault="00E824A7" w:rsidP="00EA6531">
      <w:pPr>
        <w:spacing w:after="0" w:line="240" w:lineRule="auto"/>
        <w:contextualSpacing/>
        <w:jc w:val="both"/>
        <w:rPr>
          <w:rFonts w:ascii="Times New Roman" w:hAnsi="Times New Roman"/>
          <w:bCs/>
          <w:sz w:val="20"/>
          <w:szCs w:val="20"/>
        </w:rPr>
      </w:pPr>
      <w:r w:rsidRPr="00F06923">
        <w:rPr>
          <w:rFonts w:ascii="Times New Roman" w:hAnsi="Times New Roman"/>
          <w:bCs/>
          <w:sz w:val="20"/>
          <w:szCs w:val="20"/>
        </w:rPr>
        <w:t xml:space="preserve">Across a variety of nations, educational </w:t>
      </w:r>
      <w:r w:rsidR="004F4D04" w:rsidRPr="00F06923">
        <w:rPr>
          <w:rFonts w:ascii="Times New Roman" w:hAnsi="Times New Roman"/>
          <w:bCs/>
          <w:sz w:val="20"/>
          <w:szCs w:val="20"/>
        </w:rPr>
        <w:t>p</w:t>
      </w:r>
      <w:r w:rsidR="000E5EA8" w:rsidRPr="00F06923">
        <w:rPr>
          <w:rFonts w:ascii="Times New Roman" w:hAnsi="Times New Roman"/>
          <w:bCs/>
          <w:sz w:val="20"/>
          <w:szCs w:val="20"/>
        </w:rPr>
        <w:t>olicy for students with disabilities is intended to lead to greater access to the curriculum and grade level standards for students with disabilities</w:t>
      </w:r>
      <w:r w:rsidR="000E5EA8" w:rsidRPr="00F06923">
        <w:rPr>
          <w:rFonts w:ascii="Times New Roman" w:hAnsi="Times New Roman"/>
          <w:bCs/>
          <w:color w:val="C00000"/>
          <w:sz w:val="20"/>
          <w:szCs w:val="20"/>
        </w:rPr>
        <w:t xml:space="preserve">. </w:t>
      </w:r>
      <w:r w:rsidR="000E5EA8" w:rsidRPr="00F06923">
        <w:rPr>
          <w:rFonts w:ascii="Times New Roman" w:hAnsi="Times New Roman"/>
          <w:bCs/>
          <w:sz w:val="20"/>
          <w:szCs w:val="20"/>
        </w:rPr>
        <w:t>Results</w:t>
      </w:r>
      <w:r w:rsidR="00593993" w:rsidRPr="00F06923">
        <w:rPr>
          <w:rFonts w:ascii="Times New Roman" w:hAnsi="Times New Roman"/>
          <w:bCs/>
          <w:sz w:val="20"/>
          <w:szCs w:val="20"/>
        </w:rPr>
        <w:t xml:space="preserve"> of this study</w:t>
      </w:r>
      <w:r w:rsidR="000E5EA8" w:rsidRPr="00F06923">
        <w:rPr>
          <w:rFonts w:ascii="Times New Roman" w:hAnsi="Times New Roman"/>
          <w:bCs/>
          <w:sz w:val="20"/>
          <w:szCs w:val="20"/>
        </w:rPr>
        <w:t xml:space="preserve"> that IEP quality was not a significant predictor of test performance</w:t>
      </w:r>
      <w:r w:rsidR="00FB63A4" w:rsidRPr="00F06923">
        <w:rPr>
          <w:rFonts w:ascii="Times New Roman" w:hAnsi="Times New Roman"/>
          <w:bCs/>
          <w:sz w:val="20"/>
          <w:szCs w:val="20"/>
        </w:rPr>
        <w:t xml:space="preserve"> or curricular access</w:t>
      </w:r>
      <w:r w:rsidR="000E5EA8" w:rsidRPr="00F06923">
        <w:rPr>
          <w:rFonts w:ascii="Times New Roman" w:hAnsi="Times New Roman"/>
          <w:bCs/>
          <w:sz w:val="20"/>
          <w:szCs w:val="20"/>
        </w:rPr>
        <w:t xml:space="preserve">. Results from this study </w:t>
      </w:r>
      <w:r w:rsidR="00593993" w:rsidRPr="00F06923">
        <w:rPr>
          <w:rFonts w:ascii="Times New Roman" w:hAnsi="Times New Roman"/>
          <w:bCs/>
          <w:sz w:val="20"/>
          <w:szCs w:val="20"/>
        </w:rPr>
        <w:t>reflect previous</w:t>
      </w:r>
      <w:r w:rsidR="000E5EA8" w:rsidRPr="00F06923">
        <w:rPr>
          <w:rFonts w:ascii="Times New Roman" w:hAnsi="Times New Roman"/>
          <w:bCs/>
          <w:sz w:val="20"/>
          <w:szCs w:val="20"/>
        </w:rPr>
        <w:t xml:space="preserve"> research that suggests that IEP</w:t>
      </w:r>
      <w:r w:rsidR="00371432" w:rsidRPr="00F06923">
        <w:rPr>
          <w:rFonts w:ascii="Times New Roman" w:hAnsi="Times New Roman"/>
          <w:bCs/>
          <w:sz w:val="20"/>
          <w:szCs w:val="20"/>
        </w:rPr>
        <w:t xml:space="preserve"> practices</w:t>
      </w:r>
      <w:r w:rsidR="000E5EA8" w:rsidRPr="00F06923">
        <w:rPr>
          <w:rFonts w:ascii="Times New Roman" w:hAnsi="Times New Roman"/>
          <w:bCs/>
          <w:sz w:val="20"/>
          <w:szCs w:val="20"/>
        </w:rPr>
        <w:t xml:space="preserve"> do not </w:t>
      </w:r>
      <w:r w:rsidR="00371432" w:rsidRPr="00F06923">
        <w:rPr>
          <w:rFonts w:ascii="Times New Roman" w:hAnsi="Times New Roman"/>
          <w:bCs/>
          <w:sz w:val="20"/>
          <w:szCs w:val="20"/>
        </w:rPr>
        <w:t>consistently impact</w:t>
      </w:r>
      <w:r w:rsidR="000E5EA8" w:rsidRPr="00F06923">
        <w:rPr>
          <w:rFonts w:ascii="Times New Roman" w:hAnsi="Times New Roman"/>
          <w:bCs/>
          <w:sz w:val="20"/>
          <w:szCs w:val="20"/>
        </w:rPr>
        <w:t xml:space="preserve"> </w:t>
      </w:r>
      <w:r w:rsidR="00371432" w:rsidRPr="00F06923">
        <w:rPr>
          <w:rFonts w:ascii="Times New Roman" w:hAnsi="Times New Roman"/>
          <w:bCs/>
          <w:sz w:val="20"/>
          <w:szCs w:val="20"/>
        </w:rPr>
        <w:t>students’</w:t>
      </w:r>
      <w:r w:rsidR="000E5EA8" w:rsidRPr="00F06923">
        <w:rPr>
          <w:rFonts w:ascii="Times New Roman" w:hAnsi="Times New Roman"/>
          <w:bCs/>
          <w:sz w:val="20"/>
          <w:szCs w:val="20"/>
        </w:rPr>
        <w:t xml:space="preserve"> access to or involvement in the general education curriculum.  F</w:t>
      </w:r>
      <w:r w:rsidR="00593993" w:rsidRPr="00F06923">
        <w:rPr>
          <w:rFonts w:ascii="Times New Roman" w:hAnsi="Times New Roman"/>
          <w:bCs/>
          <w:sz w:val="20"/>
          <w:szCs w:val="20"/>
        </w:rPr>
        <w:t>or example, F</w:t>
      </w:r>
      <w:r w:rsidR="000E5EA8" w:rsidRPr="00F06923">
        <w:rPr>
          <w:rFonts w:ascii="Times New Roman" w:hAnsi="Times New Roman"/>
          <w:bCs/>
          <w:sz w:val="20"/>
          <w:szCs w:val="20"/>
        </w:rPr>
        <w:t xml:space="preserve">isher and Frey (2001) found </w:t>
      </w:r>
      <w:proofErr w:type="gramStart"/>
      <w:r w:rsidR="000E5EA8" w:rsidRPr="00F06923">
        <w:rPr>
          <w:rFonts w:ascii="Times New Roman" w:hAnsi="Times New Roman"/>
          <w:bCs/>
          <w:sz w:val="20"/>
          <w:szCs w:val="20"/>
        </w:rPr>
        <w:t>a disconnect</w:t>
      </w:r>
      <w:proofErr w:type="gramEnd"/>
      <w:r w:rsidR="000E5EA8" w:rsidRPr="00F06923">
        <w:rPr>
          <w:rFonts w:ascii="Times New Roman" w:hAnsi="Times New Roman"/>
          <w:bCs/>
          <w:sz w:val="20"/>
          <w:szCs w:val="20"/>
        </w:rPr>
        <w:t xml:space="preserve"> between information found in students’ IEPs and the actual curriculum and instruction provided to students in inclusive settings.  In order for IEPs to serve as the primary means of facilitating curricular access and to improve student academic outcomes for students </w:t>
      </w:r>
      <w:r w:rsidR="001C6249" w:rsidRPr="00F06923">
        <w:rPr>
          <w:rFonts w:ascii="Times New Roman" w:hAnsi="Times New Roman"/>
          <w:bCs/>
          <w:sz w:val="20"/>
          <w:szCs w:val="20"/>
        </w:rPr>
        <w:t>with disabilities</w:t>
      </w:r>
      <w:r w:rsidR="000E5EA8" w:rsidRPr="00F06923">
        <w:rPr>
          <w:rFonts w:ascii="Times New Roman" w:hAnsi="Times New Roman"/>
          <w:bCs/>
          <w:sz w:val="20"/>
          <w:szCs w:val="20"/>
        </w:rPr>
        <w:t xml:space="preserve">, </w:t>
      </w:r>
      <w:r w:rsidRPr="00F06923">
        <w:rPr>
          <w:rFonts w:ascii="Times New Roman" w:hAnsi="Times New Roman"/>
          <w:bCs/>
          <w:sz w:val="20"/>
          <w:szCs w:val="20"/>
        </w:rPr>
        <w:t>educational systems</w:t>
      </w:r>
      <w:r w:rsidR="000E5EA8" w:rsidRPr="00F06923">
        <w:rPr>
          <w:rFonts w:ascii="Times New Roman" w:hAnsi="Times New Roman"/>
          <w:bCs/>
          <w:sz w:val="20"/>
          <w:szCs w:val="20"/>
        </w:rPr>
        <w:t xml:space="preserve"> need to provide professional development and increased IEP quality monitoring to ensure that the goals and services outlined in the IEP are monitored and implemented as planned (Roach et al., 2009). </w:t>
      </w:r>
      <w:r w:rsidRPr="00F06923">
        <w:rPr>
          <w:rFonts w:ascii="Times New Roman" w:hAnsi="Times New Roman"/>
          <w:bCs/>
          <w:sz w:val="20"/>
          <w:szCs w:val="20"/>
        </w:rPr>
        <w:t xml:space="preserve"> The promotion </w:t>
      </w:r>
      <w:r w:rsidR="00711FF6" w:rsidRPr="00F06923">
        <w:rPr>
          <w:rFonts w:ascii="Times New Roman" w:hAnsi="Times New Roman"/>
          <w:bCs/>
          <w:sz w:val="20"/>
          <w:szCs w:val="20"/>
        </w:rPr>
        <w:t>of the standards-based IEP</w:t>
      </w:r>
      <w:r w:rsidR="00371432" w:rsidRPr="00F06923">
        <w:rPr>
          <w:rFonts w:ascii="Times New Roman" w:hAnsi="Times New Roman"/>
          <w:bCs/>
          <w:sz w:val="20"/>
          <w:szCs w:val="20"/>
        </w:rPr>
        <w:t>s</w:t>
      </w:r>
      <w:r w:rsidR="00711FF6" w:rsidRPr="00F06923">
        <w:rPr>
          <w:rFonts w:ascii="Times New Roman" w:hAnsi="Times New Roman"/>
          <w:bCs/>
          <w:sz w:val="20"/>
          <w:szCs w:val="20"/>
        </w:rPr>
        <w:t xml:space="preserve"> </w:t>
      </w:r>
      <w:r w:rsidR="00371432" w:rsidRPr="00F06923">
        <w:rPr>
          <w:rFonts w:ascii="Times New Roman" w:hAnsi="Times New Roman"/>
          <w:bCs/>
          <w:sz w:val="20"/>
          <w:szCs w:val="20"/>
        </w:rPr>
        <w:t xml:space="preserve">in </w:t>
      </w:r>
      <w:r w:rsidRPr="00F06923">
        <w:rPr>
          <w:rFonts w:ascii="Times New Roman" w:hAnsi="Times New Roman"/>
          <w:bCs/>
          <w:sz w:val="20"/>
          <w:szCs w:val="20"/>
        </w:rPr>
        <w:t>policy and</w:t>
      </w:r>
      <w:r w:rsidR="00371432" w:rsidRPr="00F06923">
        <w:rPr>
          <w:rFonts w:ascii="Times New Roman" w:hAnsi="Times New Roman"/>
          <w:bCs/>
          <w:sz w:val="20"/>
          <w:szCs w:val="20"/>
        </w:rPr>
        <w:t xml:space="preserve"> regulations </w:t>
      </w:r>
      <w:r w:rsidR="00711FF6" w:rsidRPr="00F06923">
        <w:rPr>
          <w:rFonts w:ascii="Times New Roman" w:hAnsi="Times New Roman"/>
          <w:bCs/>
          <w:sz w:val="20"/>
          <w:szCs w:val="20"/>
        </w:rPr>
        <w:t>only increases the need for additional research and professional training to support quality</w:t>
      </w:r>
      <w:r w:rsidR="00371432" w:rsidRPr="00F06923">
        <w:rPr>
          <w:rFonts w:ascii="Times New Roman" w:hAnsi="Times New Roman"/>
          <w:bCs/>
          <w:sz w:val="20"/>
          <w:szCs w:val="20"/>
        </w:rPr>
        <w:t xml:space="preserve"> IEP</w:t>
      </w:r>
      <w:r w:rsidR="00711FF6" w:rsidRPr="00F06923">
        <w:rPr>
          <w:rFonts w:ascii="Times New Roman" w:hAnsi="Times New Roman"/>
          <w:bCs/>
          <w:sz w:val="20"/>
          <w:szCs w:val="20"/>
        </w:rPr>
        <w:t xml:space="preserve"> goal development.</w:t>
      </w:r>
    </w:p>
    <w:p w:rsidR="00BD22E6" w:rsidRPr="00F06923" w:rsidRDefault="00BD22E6" w:rsidP="008E4F04">
      <w:pPr>
        <w:spacing w:after="0" w:line="240" w:lineRule="auto"/>
        <w:contextualSpacing/>
        <w:jc w:val="both"/>
        <w:rPr>
          <w:rFonts w:ascii="Times New Roman" w:hAnsi="Times New Roman"/>
          <w:bCs/>
          <w:sz w:val="20"/>
          <w:szCs w:val="20"/>
        </w:rPr>
      </w:pPr>
    </w:p>
    <w:p w:rsidR="0008429B" w:rsidRPr="00F06923" w:rsidRDefault="00D212F1" w:rsidP="00E16B14">
      <w:pPr>
        <w:spacing w:after="0" w:line="240" w:lineRule="auto"/>
        <w:contextualSpacing/>
        <w:jc w:val="both"/>
        <w:rPr>
          <w:rFonts w:ascii="Times New Roman" w:hAnsi="Times New Roman"/>
          <w:b/>
          <w:sz w:val="20"/>
          <w:szCs w:val="20"/>
        </w:rPr>
      </w:pPr>
      <w:r w:rsidRPr="00F06923">
        <w:rPr>
          <w:rFonts w:ascii="Times New Roman" w:hAnsi="Times New Roman"/>
          <w:b/>
          <w:sz w:val="20"/>
          <w:szCs w:val="20"/>
        </w:rPr>
        <w:t>R</w:t>
      </w:r>
      <w:r w:rsidR="00A044BC" w:rsidRPr="00F06923">
        <w:rPr>
          <w:rFonts w:ascii="Times New Roman" w:hAnsi="Times New Roman"/>
          <w:b/>
          <w:sz w:val="20"/>
          <w:szCs w:val="20"/>
        </w:rPr>
        <w:t>ef</w:t>
      </w:r>
      <w:r w:rsidR="00BC6DBD" w:rsidRPr="00F06923">
        <w:rPr>
          <w:rFonts w:ascii="Times New Roman" w:hAnsi="Times New Roman"/>
          <w:b/>
          <w:sz w:val="20"/>
          <w:szCs w:val="20"/>
        </w:rPr>
        <w:t>erences</w:t>
      </w:r>
    </w:p>
    <w:p w:rsidR="00B11951" w:rsidRPr="00F06923" w:rsidRDefault="00B11951" w:rsidP="008E4F04">
      <w:pPr>
        <w:spacing w:after="0" w:line="240" w:lineRule="auto"/>
        <w:contextualSpacing/>
        <w:rPr>
          <w:rFonts w:ascii="Times New Roman" w:hAnsi="Times New Roman"/>
          <w:sz w:val="20"/>
          <w:szCs w:val="20"/>
        </w:rPr>
      </w:pPr>
      <w:r w:rsidRPr="00F06923">
        <w:rPr>
          <w:rFonts w:ascii="Times New Roman" w:hAnsi="Times New Roman"/>
          <w:sz w:val="20"/>
          <w:szCs w:val="20"/>
        </w:rPr>
        <w:t xml:space="preserve">Ahearn, E. (2006). </w:t>
      </w:r>
      <w:r w:rsidRPr="00F06923">
        <w:rPr>
          <w:rFonts w:ascii="Times New Roman" w:hAnsi="Times New Roman"/>
          <w:i/>
          <w:sz w:val="20"/>
          <w:szCs w:val="20"/>
        </w:rPr>
        <w:t xml:space="preserve">Standards-Based IEPs: Implementation in Selected States. </w:t>
      </w:r>
      <w:r w:rsidRPr="00F06923">
        <w:rPr>
          <w:rFonts w:ascii="Times New Roman" w:hAnsi="Times New Roman"/>
          <w:sz w:val="20"/>
          <w:szCs w:val="20"/>
        </w:rPr>
        <w:t xml:space="preserve">Alexandria, VA: </w:t>
      </w:r>
    </w:p>
    <w:p w:rsidR="00B11951" w:rsidRPr="00F06923" w:rsidRDefault="00B11951" w:rsidP="008E4F0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National Association of State Directors of Special Education.</w:t>
      </w:r>
      <w:proofErr w:type="gramEnd"/>
    </w:p>
    <w:p w:rsidR="0008429B" w:rsidRPr="00F06923" w:rsidRDefault="0008429B" w:rsidP="008E4F0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 xml:space="preserve">Altman, J. R., Lazarus, S. S., </w:t>
      </w:r>
      <w:proofErr w:type="spellStart"/>
      <w:r w:rsidRPr="00F06923">
        <w:rPr>
          <w:rFonts w:ascii="Times New Roman" w:hAnsi="Times New Roman"/>
          <w:sz w:val="20"/>
          <w:szCs w:val="20"/>
        </w:rPr>
        <w:t>Quenemoen</w:t>
      </w:r>
      <w:proofErr w:type="spellEnd"/>
      <w:r w:rsidRPr="00F06923">
        <w:rPr>
          <w:rFonts w:ascii="Times New Roman" w:hAnsi="Times New Roman"/>
          <w:sz w:val="20"/>
          <w:szCs w:val="20"/>
        </w:rPr>
        <w:t xml:space="preserve">, R. F., Kearns, J., </w:t>
      </w:r>
      <w:proofErr w:type="spellStart"/>
      <w:r w:rsidRPr="00F06923">
        <w:rPr>
          <w:rFonts w:ascii="Times New Roman" w:hAnsi="Times New Roman"/>
          <w:sz w:val="20"/>
          <w:szCs w:val="20"/>
        </w:rPr>
        <w:t>Quenemoen</w:t>
      </w:r>
      <w:proofErr w:type="spellEnd"/>
      <w:r w:rsidRPr="00F06923">
        <w:rPr>
          <w:rFonts w:ascii="Times New Roman" w:hAnsi="Times New Roman"/>
          <w:sz w:val="20"/>
          <w:szCs w:val="20"/>
        </w:rPr>
        <w:t xml:space="preserve">, M., &amp; </w:t>
      </w:r>
      <w:proofErr w:type="spellStart"/>
      <w:r w:rsidRPr="00F06923">
        <w:rPr>
          <w:rFonts w:ascii="Times New Roman" w:hAnsi="Times New Roman"/>
          <w:sz w:val="20"/>
          <w:szCs w:val="20"/>
        </w:rPr>
        <w:t>Thurlow</w:t>
      </w:r>
      <w:proofErr w:type="spellEnd"/>
      <w:r w:rsidRPr="00F06923">
        <w:rPr>
          <w:rFonts w:ascii="Times New Roman" w:hAnsi="Times New Roman"/>
          <w:sz w:val="20"/>
          <w:szCs w:val="20"/>
        </w:rPr>
        <w:t>, M. L.</w:t>
      </w:r>
      <w:proofErr w:type="gramEnd"/>
      <w:r w:rsidRPr="00F06923">
        <w:rPr>
          <w:rFonts w:ascii="Times New Roman" w:hAnsi="Times New Roman"/>
          <w:sz w:val="20"/>
          <w:szCs w:val="20"/>
        </w:rPr>
        <w:t xml:space="preserve"> </w:t>
      </w:r>
    </w:p>
    <w:p w:rsidR="0008429B" w:rsidRPr="00F06923" w:rsidRDefault="0008429B" w:rsidP="008E4F04">
      <w:pPr>
        <w:spacing w:after="0" w:line="240" w:lineRule="auto"/>
        <w:contextualSpacing/>
        <w:rPr>
          <w:rFonts w:ascii="Times New Roman" w:hAnsi="Times New Roman"/>
          <w:i/>
          <w:iCs/>
          <w:sz w:val="20"/>
          <w:szCs w:val="20"/>
        </w:rPr>
      </w:pPr>
      <w:r w:rsidRPr="00F06923">
        <w:rPr>
          <w:rFonts w:ascii="Times New Roman" w:hAnsi="Times New Roman"/>
          <w:sz w:val="20"/>
          <w:szCs w:val="20"/>
        </w:rPr>
        <w:t xml:space="preserve">(2010). </w:t>
      </w:r>
      <w:r w:rsidRPr="00F06923">
        <w:rPr>
          <w:rFonts w:ascii="Times New Roman" w:hAnsi="Times New Roman"/>
          <w:i/>
          <w:iCs/>
          <w:sz w:val="20"/>
          <w:szCs w:val="20"/>
        </w:rPr>
        <w:t xml:space="preserve">2009 survey of states: Accomplishments and new issues at the end of a decade of </w:t>
      </w:r>
    </w:p>
    <w:p w:rsidR="0008429B" w:rsidRPr="00F06923" w:rsidRDefault="0008429B" w:rsidP="008E4F04">
      <w:pPr>
        <w:spacing w:after="0" w:line="240" w:lineRule="auto"/>
        <w:contextualSpacing/>
        <w:rPr>
          <w:rFonts w:ascii="Times New Roman" w:hAnsi="Times New Roman"/>
          <w:sz w:val="20"/>
          <w:szCs w:val="20"/>
        </w:rPr>
      </w:pPr>
      <w:proofErr w:type="gramStart"/>
      <w:r w:rsidRPr="00F06923">
        <w:rPr>
          <w:rFonts w:ascii="Times New Roman" w:hAnsi="Times New Roman"/>
          <w:i/>
          <w:iCs/>
          <w:sz w:val="20"/>
          <w:szCs w:val="20"/>
        </w:rPr>
        <w:t>change</w:t>
      </w:r>
      <w:proofErr w:type="gramEnd"/>
      <w:r w:rsidRPr="00F06923">
        <w:rPr>
          <w:rFonts w:ascii="Times New Roman" w:hAnsi="Times New Roman"/>
          <w:sz w:val="20"/>
          <w:szCs w:val="20"/>
        </w:rPr>
        <w:t xml:space="preserve">. Minneapolis, MN: University of Minnesota, National Center on Educational </w:t>
      </w:r>
    </w:p>
    <w:p w:rsidR="0008429B" w:rsidRPr="00F06923" w:rsidRDefault="0008429B" w:rsidP="008E4F0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Outcomes.</w:t>
      </w:r>
      <w:proofErr w:type="gramEnd"/>
    </w:p>
    <w:p w:rsidR="00C45F68" w:rsidRPr="00F06923" w:rsidRDefault="00BC6DBD" w:rsidP="008E4F04">
      <w:pPr>
        <w:spacing w:after="0" w:line="240" w:lineRule="auto"/>
        <w:contextualSpacing/>
        <w:rPr>
          <w:rFonts w:ascii="Times New Roman" w:hAnsi="Times New Roman"/>
          <w:i/>
          <w:sz w:val="20"/>
          <w:szCs w:val="20"/>
        </w:rPr>
      </w:pPr>
      <w:proofErr w:type="gramStart"/>
      <w:r w:rsidRPr="00F06923">
        <w:rPr>
          <w:rFonts w:ascii="Times New Roman" w:hAnsi="Times New Roman"/>
          <w:sz w:val="20"/>
          <w:szCs w:val="20"/>
        </w:rPr>
        <w:t>Browder, D.</w:t>
      </w:r>
      <w:r w:rsidR="004037B4" w:rsidRPr="00F06923">
        <w:rPr>
          <w:rFonts w:ascii="Times New Roman" w:hAnsi="Times New Roman"/>
          <w:sz w:val="20"/>
          <w:szCs w:val="20"/>
        </w:rPr>
        <w:t xml:space="preserve"> </w:t>
      </w:r>
      <w:r w:rsidRPr="00F06923">
        <w:rPr>
          <w:rFonts w:ascii="Times New Roman" w:hAnsi="Times New Roman"/>
          <w:sz w:val="20"/>
          <w:szCs w:val="20"/>
        </w:rPr>
        <w:t xml:space="preserve">M., Spooner, F., </w:t>
      </w:r>
      <w:proofErr w:type="spellStart"/>
      <w:r w:rsidRPr="00F06923">
        <w:rPr>
          <w:rFonts w:ascii="Times New Roman" w:hAnsi="Times New Roman"/>
          <w:sz w:val="20"/>
          <w:szCs w:val="20"/>
        </w:rPr>
        <w:t>Algozzine</w:t>
      </w:r>
      <w:proofErr w:type="spellEnd"/>
      <w:r w:rsidRPr="00F06923">
        <w:rPr>
          <w:rFonts w:ascii="Times New Roman" w:hAnsi="Times New Roman"/>
          <w:sz w:val="20"/>
          <w:szCs w:val="20"/>
        </w:rPr>
        <w:t xml:space="preserve">, A., </w:t>
      </w:r>
      <w:proofErr w:type="spellStart"/>
      <w:r w:rsidRPr="00F06923">
        <w:rPr>
          <w:rFonts w:ascii="Times New Roman" w:hAnsi="Times New Roman"/>
          <w:sz w:val="20"/>
          <w:szCs w:val="20"/>
        </w:rPr>
        <w:t>Ahlgrim-Delzell</w:t>
      </w:r>
      <w:proofErr w:type="spellEnd"/>
      <w:r w:rsidRPr="00F06923">
        <w:rPr>
          <w:rFonts w:ascii="Times New Roman" w:hAnsi="Times New Roman"/>
          <w:sz w:val="20"/>
          <w:szCs w:val="20"/>
        </w:rPr>
        <w:t>, L</w:t>
      </w:r>
      <w:r w:rsidR="00EA6531">
        <w:rPr>
          <w:rFonts w:ascii="Times New Roman" w:hAnsi="Times New Roman"/>
          <w:sz w:val="20"/>
          <w:szCs w:val="20"/>
        </w:rPr>
        <w:t xml:space="preserve">., Flowers, C., &amp; Karvonen, M. </w:t>
      </w:r>
      <w:r w:rsidRPr="00F06923">
        <w:rPr>
          <w:rFonts w:ascii="Times New Roman" w:hAnsi="Times New Roman"/>
          <w:sz w:val="20"/>
          <w:szCs w:val="20"/>
        </w:rPr>
        <w:t>(2003).</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What</w:t>
      </w:r>
      <w:proofErr w:type="gramEnd"/>
      <w:r w:rsidRPr="00F06923">
        <w:rPr>
          <w:rFonts w:ascii="Times New Roman" w:hAnsi="Times New Roman"/>
          <w:sz w:val="20"/>
          <w:szCs w:val="20"/>
        </w:rPr>
        <w:t xml:space="preserve"> we know and need to know about alternate assessment. </w:t>
      </w:r>
      <w:r w:rsidR="00EA6531">
        <w:rPr>
          <w:rFonts w:ascii="Times New Roman" w:hAnsi="Times New Roman"/>
          <w:i/>
          <w:sz w:val="20"/>
          <w:szCs w:val="20"/>
        </w:rPr>
        <w:t xml:space="preserve">Council for </w:t>
      </w:r>
      <w:r w:rsidRPr="00F06923">
        <w:rPr>
          <w:rFonts w:ascii="Times New Roman" w:hAnsi="Times New Roman"/>
          <w:i/>
          <w:sz w:val="20"/>
          <w:szCs w:val="20"/>
        </w:rPr>
        <w:t>Exceptional Children</w:t>
      </w:r>
      <w:r w:rsidR="004037B4" w:rsidRPr="00F06923">
        <w:rPr>
          <w:rFonts w:ascii="Times New Roman" w:hAnsi="Times New Roman"/>
          <w:i/>
          <w:sz w:val="20"/>
          <w:szCs w:val="20"/>
        </w:rPr>
        <w:t>, 70</w:t>
      </w:r>
      <w:r w:rsidRPr="00F06923">
        <w:rPr>
          <w:rFonts w:ascii="Times New Roman" w:hAnsi="Times New Roman"/>
          <w:i/>
          <w:sz w:val="20"/>
          <w:szCs w:val="20"/>
        </w:rPr>
        <w:t xml:space="preserve"> (1),</w:t>
      </w:r>
      <w:r w:rsidR="00372242" w:rsidRPr="00F06923">
        <w:rPr>
          <w:rFonts w:ascii="Times New Roman" w:hAnsi="Times New Roman"/>
          <w:i/>
          <w:sz w:val="20"/>
          <w:szCs w:val="20"/>
        </w:rPr>
        <w:t xml:space="preserve"> </w:t>
      </w:r>
      <w:r w:rsidRPr="00F06923">
        <w:rPr>
          <w:rFonts w:ascii="Times New Roman" w:hAnsi="Times New Roman"/>
          <w:i/>
          <w:sz w:val="20"/>
          <w:szCs w:val="20"/>
        </w:rPr>
        <w:t>45-6</w:t>
      </w:r>
      <w:r w:rsidR="00C45F68" w:rsidRPr="00F06923">
        <w:rPr>
          <w:rFonts w:ascii="Times New Roman" w:hAnsi="Times New Roman"/>
          <w:i/>
          <w:sz w:val="20"/>
          <w:szCs w:val="20"/>
        </w:rPr>
        <w:t>1</w:t>
      </w:r>
    </w:p>
    <w:p w:rsidR="00F77910" w:rsidRPr="00F06923" w:rsidRDefault="00C45F68" w:rsidP="008E4F04">
      <w:pPr>
        <w:spacing w:after="0" w:line="240" w:lineRule="auto"/>
        <w:contextualSpacing/>
        <w:rPr>
          <w:rFonts w:ascii="Times New Roman" w:hAnsi="Times New Roman"/>
          <w:sz w:val="20"/>
          <w:szCs w:val="20"/>
        </w:rPr>
      </w:pPr>
      <w:r w:rsidRPr="00F06923" w:rsidDel="00C45F68">
        <w:rPr>
          <w:rStyle w:val="CommentReference"/>
          <w:rFonts w:ascii="Times New Roman" w:hAnsi="Times New Roman"/>
          <w:sz w:val="20"/>
          <w:szCs w:val="20"/>
        </w:rPr>
        <w:t xml:space="preserve"> </w:t>
      </w:r>
      <w:r w:rsidR="007B47F5" w:rsidRPr="00F06923">
        <w:rPr>
          <w:rFonts w:ascii="Times New Roman" w:hAnsi="Times New Roman"/>
          <w:sz w:val="20"/>
          <w:szCs w:val="20"/>
        </w:rPr>
        <w:t xml:space="preserve">Browder, D.M., </w:t>
      </w:r>
      <w:proofErr w:type="spellStart"/>
      <w:r w:rsidR="007B47F5" w:rsidRPr="00F06923">
        <w:rPr>
          <w:rFonts w:ascii="Times New Roman" w:hAnsi="Times New Roman"/>
          <w:sz w:val="20"/>
          <w:szCs w:val="20"/>
        </w:rPr>
        <w:t>Wakeman</w:t>
      </w:r>
      <w:proofErr w:type="spellEnd"/>
      <w:r w:rsidR="007B47F5" w:rsidRPr="00F06923">
        <w:rPr>
          <w:rFonts w:ascii="Times New Roman" w:hAnsi="Times New Roman"/>
          <w:sz w:val="20"/>
          <w:szCs w:val="20"/>
        </w:rPr>
        <w:t xml:space="preserve">, S. Y., &amp; Flowers C., (2006). </w:t>
      </w:r>
      <w:proofErr w:type="gramStart"/>
      <w:r w:rsidR="007B47F5" w:rsidRPr="00F06923">
        <w:rPr>
          <w:rFonts w:ascii="Times New Roman" w:hAnsi="Times New Roman"/>
          <w:sz w:val="20"/>
          <w:szCs w:val="20"/>
        </w:rPr>
        <w:t>Assessm</w:t>
      </w:r>
      <w:r w:rsidR="00EA6531">
        <w:rPr>
          <w:rFonts w:ascii="Times New Roman" w:hAnsi="Times New Roman"/>
          <w:sz w:val="20"/>
          <w:szCs w:val="20"/>
        </w:rPr>
        <w:t xml:space="preserve">ent of progress in the general curriculum for </w:t>
      </w:r>
      <w:r w:rsidR="007B47F5" w:rsidRPr="00F06923">
        <w:rPr>
          <w:rFonts w:ascii="Times New Roman" w:hAnsi="Times New Roman"/>
          <w:sz w:val="20"/>
          <w:szCs w:val="20"/>
        </w:rPr>
        <w:t>students with disabilities.</w:t>
      </w:r>
      <w:proofErr w:type="gramEnd"/>
      <w:r w:rsidR="007B47F5" w:rsidRPr="00F06923">
        <w:rPr>
          <w:rFonts w:ascii="Times New Roman" w:hAnsi="Times New Roman"/>
          <w:sz w:val="20"/>
          <w:szCs w:val="20"/>
        </w:rPr>
        <w:t xml:space="preserve"> </w:t>
      </w:r>
      <w:r w:rsidR="007B47F5" w:rsidRPr="00F06923">
        <w:rPr>
          <w:rFonts w:ascii="Times New Roman" w:hAnsi="Times New Roman"/>
          <w:i/>
          <w:sz w:val="20"/>
          <w:szCs w:val="20"/>
        </w:rPr>
        <w:t xml:space="preserve">Theory </w:t>
      </w:r>
      <w:proofErr w:type="gramStart"/>
      <w:r w:rsidR="007B47F5" w:rsidRPr="00F06923">
        <w:rPr>
          <w:rFonts w:ascii="Times New Roman" w:hAnsi="Times New Roman"/>
          <w:i/>
          <w:sz w:val="20"/>
          <w:szCs w:val="20"/>
        </w:rPr>
        <w:t>Into</w:t>
      </w:r>
      <w:proofErr w:type="gramEnd"/>
      <w:r w:rsidR="007B47F5" w:rsidRPr="00F06923">
        <w:rPr>
          <w:rFonts w:ascii="Times New Roman" w:hAnsi="Times New Roman"/>
          <w:i/>
          <w:sz w:val="20"/>
          <w:szCs w:val="20"/>
        </w:rPr>
        <w:t xml:space="preserve"> Practice</w:t>
      </w:r>
      <w:r w:rsidR="007B47F5" w:rsidRPr="00F06923">
        <w:rPr>
          <w:rFonts w:ascii="Times New Roman" w:hAnsi="Times New Roman"/>
          <w:sz w:val="20"/>
          <w:szCs w:val="20"/>
        </w:rPr>
        <w:t>, 45 (3), 249-259</w:t>
      </w:r>
      <w:r w:rsidRPr="00F06923">
        <w:rPr>
          <w:rFonts w:ascii="Times New Roman" w:hAnsi="Times New Roman"/>
          <w:sz w:val="20"/>
          <w:szCs w:val="20"/>
        </w:rPr>
        <w:t xml:space="preserve">. </w:t>
      </w:r>
      <w:proofErr w:type="gramStart"/>
      <w:r w:rsidRPr="00F06923">
        <w:rPr>
          <w:rFonts w:ascii="Times New Roman" w:hAnsi="Times New Roman"/>
          <w:sz w:val="20"/>
          <w:szCs w:val="20"/>
        </w:rPr>
        <w:t>doi:</w:t>
      </w:r>
      <w:proofErr w:type="gramEnd"/>
      <w:r w:rsidRPr="00F06923">
        <w:rPr>
          <w:rFonts w:ascii="Times New Roman" w:hAnsi="Times New Roman"/>
          <w:sz w:val="20"/>
          <w:szCs w:val="20"/>
        </w:rPr>
        <w:t>10.1207/s15430421tip4503_7</w:t>
      </w:r>
    </w:p>
    <w:p w:rsidR="007B47F5" w:rsidRPr="00F06923" w:rsidRDefault="007B47F5" w:rsidP="008E4F04">
      <w:pPr>
        <w:spacing w:after="0" w:line="240" w:lineRule="auto"/>
        <w:contextualSpacing/>
        <w:rPr>
          <w:rFonts w:ascii="Times New Roman" w:hAnsi="Times New Roman"/>
          <w:sz w:val="20"/>
          <w:szCs w:val="20"/>
        </w:rPr>
      </w:pPr>
      <w:r w:rsidRPr="00F06923">
        <w:rPr>
          <w:rFonts w:ascii="Times New Roman" w:hAnsi="Times New Roman"/>
          <w:sz w:val="20"/>
          <w:szCs w:val="20"/>
        </w:rPr>
        <w:t xml:space="preserve">Browder, D.M., </w:t>
      </w:r>
      <w:proofErr w:type="spellStart"/>
      <w:r w:rsidRPr="00F06923">
        <w:rPr>
          <w:rFonts w:ascii="Times New Roman" w:hAnsi="Times New Roman"/>
          <w:sz w:val="20"/>
          <w:szCs w:val="20"/>
        </w:rPr>
        <w:t>Wakeman</w:t>
      </w:r>
      <w:proofErr w:type="spellEnd"/>
      <w:r w:rsidRPr="00F06923">
        <w:rPr>
          <w:rFonts w:ascii="Times New Roman" w:hAnsi="Times New Roman"/>
          <w:sz w:val="20"/>
          <w:szCs w:val="20"/>
        </w:rPr>
        <w:t xml:space="preserve">, S. Y., Flowers, C., </w:t>
      </w:r>
      <w:proofErr w:type="spellStart"/>
      <w:r w:rsidRPr="00F06923">
        <w:rPr>
          <w:rFonts w:ascii="Times New Roman" w:hAnsi="Times New Roman"/>
          <w:sz w:val="20"/>
          <w:szCs w:val="20"/>
        </w:rPr>
        <w:t>Rickelman</w:t>
      </w:r>
      <w:proofErr w:type="spellEnd"/>
      <w:r w:rsidRPr="00F06923">
        <w:rPr>
          <w:rFonts w:ascii="Times New Roman" w:hAnsi="Times New Roman"/>
          <w:sz w:val="20"/>
          <w:szCs w:val="20"/>
        </w:rPr>
        <w:t>, R</w:t>
      </w:r>
      <w:r w:rsidR="00EA6531">
        <w:rPr>
          <w:rFonts w:ascii="Times New Roman" w:hAnsi="Times New Roman"/>
          <w:sz w:val="20"/>
          <w:szCs w:val="20"/>
        </w:rPr>
        <w:t xml:space="preserve">., </w:t>
      </w:r>
      <w:proofErr w:type="spellStart"/>
      <w:r w:rsidR="00EA6531">
        <w:rPr>
          <w:rFonts w:ascii="Times New Roman" w:hAnsi="Times New Roman"/>
          <w:sz w:val="20"/>
          <w:szCs w:val="20"/>
        </w:rPr>
        <w:t>Pugalee</w:t>
      </w:r>
      <w:proofErr w:type="spellEnd"/>
      <w:r w:rsidR="00EA6531">
        <w:rPr>
          <w:rFonts w:ascii="Times New Roman" w:hAnsi="Times New Roman"/>
          <w:sz w:val="20"/>
          <w:szCs w:val="20"/>
        </w:rPr>
        <w:t xml:space="preserve">, D., &amp; </w:t>
      </w:r>
      <w:proofErr w:type="spellStart"/>
      <w:r w:rsidR="00EA6531">
        <w:rPr>
          <w:rFonts w:ascii="Times New Roman" w:hAnsi="Times New Roman"/>
          <w:sz w:val="20"/>
          <w:szCs w:val="20"/>
        </w:rPr>
        <w:t>Karvoven</w:t>
      </w:r>
      <w:proofErr w:type="spellEnd"/>
      <w:r w:rsidR="00EA6531">
        <w:rPr>
          <w:rFonts w:ascii="Times New Roman" w:hAnsi="Times New Roman"/>
          <w:sz w:val="20"/>
          <w:szCs w:val="20"/>
        </w:rPr>
        <w:t xml:space="preserve">, M. </w:t>
      </w:r>
      <w:r w:rsidRPr="00F06923">
        <w:rPr>
          <w:rFonts w:ascii="Times New Roman" w:hAnsi="Times New Roman"/>
          <w:sz w:val="20"/>
          <w:szCs w:val="20"/>
        </w:rPr>
        <w:t xml:space="preserve">(2007). </w:t>
      </w:r>
      <w:proofErr w:type="gramStart"/>
      <w:r w:rsidRPr="00F06923">
        <w:rPr>
          <w:rFonts w:ascii="Times New Roman" w:hAnsi="Times New Roman"/>
          <w:sz w:val="20"/>
          <w:szCs w:val="20"/>
        </w:rPr>
        <w:t>Creating access to the general curriculum with li</w:t>
      </w:r>
      <w:r w:rsidR="00EA6531">
        <w:rPr>
          <w:rFonts w:ascii="Times New Roman" w:hAnsi="Times New Roman"/>
          <w:sz w:val="20"/>
          <w:szCs w:val="20"/>
        </w:rPr>
        <w:t xml:space="preserve">nks to grade level content for </w:t>
      </w:r>
      <w:r w:rsidRPr="00F06923">
        <w:rPr>
          <w:rFonts w:ascii="Times New Roman" w:hAnsi="Times New Roman"/>
          <w:sz w:val="20"/>
          <w:szCs w:val="20"/>
        </w:rPr>
        <w:t>students with significant cognitive disabilities: An explication of the concept.</w:t>
      </w:r>
      <w:proofErr w:type="gramEnd"/>
      <w:r w:rsidRPr="00F06923">
        <w:rPr>
          <w:rFonts w:ascii="Times New Roman" w:hAnsi="Times New Roman"/>
          <w:sz w:val="20"/>
          <w:szCs w:val="20"/>
        </w:rPr>
        <w:t xml:space="preserve"> </w:t>
      </w:r>
      <w:r w:rsidR="00EA6531">
        <w:rPr>
          <w:rFonts w:ascii="Times New Roman" w:hAnsi="Times New Roman"/>
          <w:i/>
          <w:sz w:val="20"/>
          <w:szCs w:val="20"/>
        </w:rPr>
        <w:t xml:space="preserve">Journal of </w:t>
      </w:r>
      <w:r w:rsidRPr="00F06923">
        <w:rPr>
          <w:rFonts w:ascii="Times New Roman" w:hAnsi="Times New Roman"/>
          <w:i/>
          <w:sz w:val="20"/>
          <w:szCs w:val="20"/>
        </w:rPr>
        <w:t xml:space="preserve">Special Education, </w:t>
      </w:r>
      <w:r w:rsidRPr="00F06923">
        <w:rPr>
          <w:rFonts w:ascii="Times New Roman" w:hAnsi="Times New Roman"/>
          <w:sz w:val="20"/>
          <w:szCs w:val="20"/>
        </w:rPr>
        <w:t>41, 2-16</w:t>
      </w:r>
      <w:r w:rsidR="00B41E3F" w:rsidRPr="00F06923">
        <w:rPr>
          <w:rFonts w:ascii="Times New Roman" w:hAnsi="Times New Roman"/>
          <w:sz w:val="20"/>
          <w:szCs w:val="20"/>
        </w:rPr>
        <w:t xml:space="preserve">. </w:t>
      </w:r>
      <w:hyperlink r:id="rId8" w:history="1">
        <w:proofErr w:type="gramStart"/>
        <w:r w:rsidR="00B41E3F" w:rsidRPr="00F06923">
          <w:rPr>
            <w:rStyle w:val="Hyperlink"/>
            <w:rFonts w:ascii="Times New Roman" w:hAnsi="Times New Roman"/>
            <w:color w:val="auto"/>
            <w:sz w:val="20"/>
            <w:szCs w:val="20"/>
            <w:u w:val="none"/>
          </w:rPr>
          <w:t>doi:</w:t>
        </w:r>
        <w:proofErr w:type="gramEnd"/>
        <w:r w:rsidR="00B41E3F" w:rsidRPr="00F06923">
          <w:rPr>
            <w:rStyle w:val="Hyperlink"/>
            <w:rFonts w:ascii="Times New Roman" w:hAnsi="Times New Roman"/>
            <w:color w:val="auto"/>
            <w:sz w:val="20"/>
            <w:szCs w:val="20"/>
            <w:u w:val="none"/>
          </w:rPr>
          <w:t>10.1177/00224669070410010101</w:t>
        </w:r>
      </w:hyperlink>
    </w:p>
    <w:p w:rsidR="000E06D7" w:rsidRPr="00F06923" w:rsidRDefault="000E06D7" w:rsidP="008E4F04">
      <w:pPr>
        <w:widowControl w:val="0"/>
        <w:autoSpaceDE w:val="0"/>
        <w:autoSpaceDN w:val="0"/>
        <w:adjustRightInd w:val="0"/>
        <w:spacing w:after="0" w:line="240" w:lineRule="auto"/>
        <w:rPr>
          <w:rFonts w:ascii="Times New Roman" w:hAnsi="Times New Roman"/>
          <w:sz w:val="20"/>
          <w:szCs w:val="20"/>
        </w:rPr>
      </w:pPr>
      <w:proofErr w:type="spellStart"/>
      <w:proofErr w:type="gramStart"/>
      <w:r w:rsidRPr="00F06923">
        <w:rPr>
          <w:rFonts w:ascii="Times New Roman" w:hAnsi="Times New Roman"/>
          <w:sz w:val="20"/>
          <w:szCs w:val="20"/>
        </w:rPr>
        <w:t>Buckendahl</w:t>
      </w:r>
      <w:proofErr w:type="spellEnd"/>
      <w:r w:rsidRPr="00F06923">
        <w:rPr>
          <w:rFonts w:ascii="Times New Roman" w:hAnsi="Times New Roman"/>
          <w:sz w:val="20"/>
          <w:szCs w:val="20"/>
        </w:rPr>
        <w:t>, C., &amp; Hunt, R. (2005).</w:t>
      </w:r>
      <w:proofErr w:type="gramEnd"/>
      <w:r w:rsidRPr="00F06923">
        <w:rPr>
          <w:rFonts w:ascii="Times New Roman" w:hAnsi="Times New Roman"/>
          <w:sz w:val="20"/>
          <w:szCs w:val="20"/>
        </w:rPr>
        <w:t xml:space="preserve"> Whose r</w:t>
      </w:r>
      <w:r w:rsidR="005C7EDB">
        <w:rPr>
          <w:rFonts w:ascii="Times New Roman" w:hAnsi="Times New Roman"/>
          <w:sz w:val="20"/>
          <w:szCs w:val="20"/>
        </w:rPr>
        <w:t xml:space="preserve">ules? </w:t>
      </w:r>
      <w:proofErr w:type="gramStart"/>
      <w:r w:rsidR="005C7EDB">
        <w:rPr>
          <w:rFonts w:ascii="Times New Roman" w:hAnsi="Times New Roman"/>
          <w:sz w:val="20"/>
          <w:szCs w:val="20"/>
        </w:rPr>
        <w:t xml:space="preserve">The relation between the </w:t>
      </w:r>
      <w:r w:rsidRPr="005C7EDB">
        <w:rPr>
          <w:rFonts w:ascii="Times New Roman" w:hAnsi="Times New Roman"/>
          <w:i/>
          <w:sz w:val="20"/>
          <w:szCs w:val="20"/>
        </w:rPr>
        <w:t>rules</w:t>
      </w:r>
      <w:r w:rsidRPr="00F06923">
        <w:rPr>
          <w:rFonts w:ascii="Times New Roman" w:hAnsi="Times New Roman"/>
          <w:sz w:val="20"/>
          <w:szCs w:val="20"/>
        </w:rPr>
        <w:t xml:space="preserve"> and </w:t>
      </w:r>
      <w:r w:rsidRPr="005C7EDB">
        <w:rPr>
          <w:rFonts w:ascii="Times New Roman" w:hAnsi="Times New Roman"/>
          <w:i/>
          <w:sz w:val="20"/>
          <w:szCs w:val="20"/>
        </w:rPr>
        <w:t>laws</w:t>
      </w:r>
      <w:r w:rsidRPr="00F06923">
        <w:rPr>
          <w:rFonts w:ascii="Times New Roman" w:hAnsi="Times New Roman"/>
          <w:sz w:val="20"/>
          <w:szCs w:val="20"/>
        </w:rPr>
        <w:t xml:space="preserve"> of testing.</w:t>
      </w:r>
      <w:proofErr w:type="gramEnd"/>
      <w:r w:rsidRPr="00F06923">
        <w:rPr>
          <w:rFonts w:ascii="Times New Roman" w:hAnsi="Times New Roman"/>
          <w:sz w:val="20"/>
          <w:szCs w:val="20"/>
        </w:rPr>
        <w:t xml:space="preserve"> In R. P. Phelps (Ed.), Defending standardized testing (pp. 147–158). Mahwah, </w:t>
      </w:r>
      <w:r w:rsidRPr="00F06923">
        <w:rPr>
          <w:rFonts w:ascii="Times New Roman" w:hAnsi="Times New Roman"/>
          <w:sz w:val="20"/>
          <w:szCs w:val="20"/>
        </w:rPr>
        <w:tab/>
        <w:t>NJ: Erlbaum.</w:t>
      </w:r>
    </w:p>
    <w:p w:rsidR="00F77910" w:rsidRPr="00F06923" w:rsidRDefault="00BC6DBD" w:rsidP="008E4F04">
      <w:pPr>
        <w:spacing w:after="0" w:line="240" w:lineRule="auto"/>
        <w:contextualSpacing/>
        <w:rPr>
          <w:rFonts w:ascii="Times New Roman" w:hAnsi="Times New Roman"/>
          <w:sz w:val="20"/>
          <w:szCs w:val="20"/>
        </w:rPr>
      </w:pPr>
      <w:proofErr w:type="spellStart"/>
      <w:r w:rsidRPr="00F06923">
        <w:rPr>
          <w:rFonts w:ascii="Times New Roman" w:hAnsi="Times New Roman"/>
          <w:sz w:val="20"/>
          <w:szCs w:val="20"/>
        </w:rPr>
        <w:t>Cortiella</w:t>
      </w:r>
      <w:proofErr w:type="spellEnd"/>
      <w:r w:rsidRPr="00F06923">
        <w:rPr>
          <w:rFonts w:ascii="Times New Roman" w:hAnsi="Times New Roman"/>
          <w:sz w:val="20"/>
          <w:szCs w:val="20"/>
        </w:rPr>
        <w:t xml:space="preserve">, C. (2007). Learning opportunities for your child through alternate assessments: </w:t>
      </w:r>
      <w:r w:rsidRPr="00F06923">
        <w:rPr>
          <w:rFonts w:ascii="Times New Roman" w:hAnsi="Times New Roman"/>
          <w:sz w:val="20"/>
          <w:szCs w:val="20"/>
        </w:rPr>
        <w:tab/>
        <w:t xml:space="preserve">alternate assessments based on modified academic achievement standards. Minneapolis, </w:t>
      </w:r>
      <w:r w:rsidRPr="00F06923">
        <w:rPr>
          <w:rFonts w:ascii="Times New Roman" w:hAnsi="Times New Roman"/>
          <w:sz w:val="20"/>
          <w:szCs w:val="20"/>
        </w:rPr>
        <w:tab/>
        <w:t>MN: University of Minnesota, National Center on Educational Outcomes.</w:t>
      </w:r>
    </w:p>
    <w:p w:rsidR="00E37AF8" w:rsidRPr="00F06923" w:rsidRDefault="00E37AF8" w:rsidP="008E4F04">
      <w:pPr>
        <w:spacing w:after="0" w:line="240" w:lineRule="auto"/>
        <w:contextualSpacing/>
        <w:rPr>
          <w:rFonts w:ascii="Times New Roman" w:hAnsi="Times New Roman"/>
          <w:sz w:val="20"/>
          <w:szCs w:val="20"/>
        </w:rPr>
      </w:pPr>
      <w:r w:rsidRPr="00F06923">
        <w:rPr>
          <w:rFonts w:ascii="Times New Roman" w:hAnsi="Times New Roman"/>
          <w:sz w:val="20"/>
          <w:szCs w:val="20"/>
        </w:rPr>
        <w:t>Daniel R.R. v. State Board of Education, 874 F. Supp. 1036 (5</w:t>
      </w:r>
      <w:r w:rsidRPr="00F06923">
        <w:rPr>
          <w:rFonts w:ascii="Times New Roman" w:hAnsi="Times New Roman"/>
          <w:sz w:val="20"/>
          <w:szCs w:val="20"/>
          <w:vertAlign w:val="superscript"/>
        </w:rPr>
        <w:t>th</w:t>
      </w:r>
      <w:r w:rsidRPr="00F06923">
        <w:rPr>
          <w:rFonts w:ascii="Times New Roman" w:hAnsi="Times New Roman"/>
          <w:sz w:val="20"/>
          <w:szCs w:val="20"/>
        </w:rPr>
        <w:t xml:space="preserve"> Cir. 1989)</w:t>
      </w:r>
    </w:p>
    <w:p w:rsidR="00485EBB" w:rsidRPr="00F06923" w:rsidRDefault="00485EBB" w:rsidP="008E4F04">
      <w:pPr>
        <w:spacing w:after="0" w:line="240" w:lineRule="auto"/>
        <w:contextualSpacing/>
        <w:rPr>
          <w:rFonts w:ascii="Times New Roman" w:hAnsi="Times New Roman"/>
          <w:sz w:val="20"/>
          <w:szCs w:val="20"/>
        </w:rPr>
      </w:pPr>
      <w:r w:rsidRPr="00F06923">
        <w:rPr>
          <w:rFonts w:ascii="Times New Roman" w:hAnsi="Times New Roman"/>
          <w:sz w:val="20"/>
          <w:szCs w:val="20"/>
        </w:rPr>
        <w:t xml:space="preserve">Debra, P. v. Ralph D. </w:t>
      </w:r>
      <w:proofErr w:type="spellStart"/>
      <w:r w:rsidRPr="00F06923">
        <w:rPr>
          <w:rFonts w:ascii="Times New Roman" w:hAnsi="Times New Roman"/>
          <w:sz w:val="20"/>
          <w:szCs w:val="20"/>
        </w:rPr>
        <w:t>Turlington</w:t>
      </w:r>
      <w:proofErr w:type="spellEnd"/>
      <w:r w:rsidRPr="00F06923">
        <w:rPr>
          <w:rFonts w:ascii="Times New Roman" w:hAnsi="Times New Roman"/>
          <w:sz w:val="20"/>
          <w:szCs w:val="20"/>
        </w:rPr>
        <w:t>, 644 F. Supp. 397 (5</w:t>
      </w:r>
      <w:r w:rsidRPr="00F06923">
        <w:rPr>
          <w:rFonts w:ascii="Times New Roman" w:hAnsi="Times New Roman"/>
          <w:sz w:val="20"/>
          <w:szCs w:val="20"/>
          <w:vertAlign w:val="superscript"/>
        </w:rPr>
        <w:t>th</w:t>
      </w:r>
      <w:r w:rsidRPr="00F06923">
        <w:rPr>
          <w:rFonts w:ascii="Times New Roman" w:hAnsi="Times New Roman"/>
          <w:sz w:val="20"/>
          <w:szCs w:val="20"/>
        </w:rPr>
        <w:t xml:space="preserve"> Cir. 1981)</w:t>
      </w:r>
    </w:p>
    <w:p w:rsidR="00F77910" w:rsidRPr="00EA6531" w:rsidRDefault="00BC6DBD" w:rsidP="008E4F04">
      <w:pPr>
        <w:spacing w:after="0" w:line="240" w:lineRule="auto"/>
        <w:contextualSpacing/>
        <w:rPr>
          <w:rFonts w:ascii="Times New Roman" w:hAnsi="Times New Roman"/>
          <w:b/>
          <w:bCs/>
          <w:color w:val="333300"/>
          <w:sz w:val="20"/>
          <w:szCs w:val="20"/>
          <w:lang/>
        </w:rPr>
      </w:pPr>
      <w:proofErr w:type="gramStart"/>
      <w:r w:rsidRPr="00F06923">
        <w:rPr>
          <w:rFonts w:ascii="Times New Roman" w:hAnsi="Times New Roman"/>
          <w:sz w:val="20"/>
          <w:szCs w:val="20"/>
        </w:rPr>
        <w:t>DiPerna</w:t>
      </w:r>
      <w:r w:rsidR="00372242" w:rsidRPr="00F06923">
        <w:rPr>
          <w:rFonts w:ascii="Times New Roman" w:hAnsi="Times New Roman"/>
          <w:sz w:val="20"/>
          <w:szCs w:val="20"/>
        </w:rPr>
        <w:t>, J.</w:t>
      </w:r>
      <w:r w:rsidR="004037B4" w:rsidRPr="00F06923">
        <w:rPr>
          <w:rFonts w:ascii="Times New Roman" w:hAnsi="Times New Roman"/>
          <w:sz w:val="20"/>
          <w:szCs w:val="20"/>
        </w:rPr>
        <w:t xml:space="preserve"> </w:t>
      </w:r>
      <w:r w:rsidR="00372242" w:rsidRPr="00F06923">
        <w:rPr>
          <w:rFonts w:ascii="Times New Roman" w:hAnsi="Times New Roman"/>
          <w:sz w:val="20"/>
          <w:szCs w:val="20"/>
        </w:rPr>
        <w:t>C.,</w:t>
      </w:r>
      <w:r w:rsidR="00814C99" w:rsidRPr="00F06923">
        <w:rPr>
          <w:rFonts w:ascii="Times New Roman" w:hAnsi="Times New Roman"/>
          <w:sz w:val="20"/>
          <w:szCs w:val="20"/>
        </w:rPr>
        <w:t xml:space="preserve"> &amp; </w:t>
      </w:r>
      <w:r w:rsidR="00372242" w:rsidRPr="00F06923">
        <w:rPr>
          <w:rFonts w:ascii="Times New Roman" w:hAnsi="Times New Roman"/>
          <w:sz w:val="20"/>
          <w:szCs w:val="20"/>
        </w:rPr>
        <w:t>Elliot, S.</w:t>
      </w:r>
      <w:r w:rsidR="00AA0EB2" w:rsidRPr="00F06923">
        <w:rPr>
          <w:rFonts w:ascii="Times New Roman" w:hAnsi="Times New Roman"/>
          <w:sz w:val="20"/>
          <w:szCs w:val="20"/>
        </w:rPr>
        <w:t xml:space="preserve"> </w:t>
      </w:r>
      <w:r w:rsidR="00372242" w:rsidRPr="00F06923">
        <w:rPr>
          <w:rFonts w:ascii="Times New Roman" w:hAnsi="Times New Roman"/>
          <w:sz w:val="20"/>
          <w:szCs w:val="20"/>
        </w:rPr>
        <w:t>N. (2009).</w:t>
      </w:r>
      <w:proofErr w:type="gramEnd"/>
      <w:r w:rsidR="00372242" w:rsidRPr="00F06923">
        <w:rPr>
          <w:rFonts w:ascii="Times New Roman" w:hAnsi="Times New Roman"/>
          <w:sz w:val="20"/>
          <w:szCs w:val="20"/>
        </w:rPr>
        <w:t xml:space="preserve"> </w:t>
      </w:r>
      <w:proofErr w:type="gramStart"/>
      <w:r w:rsidR="00372242" w:rsidRPr="00F06923">
        <w:rPr>
          <w:rFonts w:ascii="Times New Roman" w:hAnsi="Times New Roman"/>
          <w:sz w:val="20"/>
          <w:szCs w:val="20"/>
        </w:rPr>
        <w:t>Development and validat</w:t>
      </w:r>
      <w:r w:rsidR="00EA6531">
        <w:rPr>
          <w:rFonts w:ascii="Times New Roman" w:hAnsi="Times New Roman"/>
          <w:sz w:val="20"/>
          <w:szCs w:val="20"/>
        </w:rPr>
        <w:t xml:space="preserve">ion of the academic competence </w:t>
      </w:r>
      <w:r w:rsidR="00372242" w:rsidRPr="00F06923">
        <w:rPr>
          <w:rFonts w:ascii="Times New Roman" w:hAnsi="Times New Roman"/>
          <w:sz w:val="20"/>
          <w:szCs w:val="20"/>
        </w:rPr>
        <w:t>evaluation scales.</w:t>
      </w:r>
      <w:proofErr w:type="gramEnd"/>
      <w:r w:rsidR="00372242" w:rsidRPr="00F06923">
        <w:rPr>
          <w:rFonts w:ascii="Times New Roman" w:hAnsi="Times New Roman"/>
          <w:sz w:val="20"/>
          <w:szCs w:val="20"/>
        </w:rPr>
        <w:t xml:space="preserve"> </w:t>
      </w:r>
      <w:r w:rsidR="00372242" w:rsidRPr="00F06923">
        <w:rPr>
          <w:rFonts w:ascii="Times New Roman" w:hAnsi="Times New Roman"/>
          <w:i/>
          <w:sz w:val="20"/>
          <w:szCs w:val="20"/>
        </w:rPr>
        <w:t xml:space="preserve">Journal of </w:t>
      </w:r>
      <w:proofErr w:type="spellStart"/>
      <w:r w:rsidR="00372242" w:rsidRPr="00F06923">
        <w:rPr>
          <w:rFonts w:ascii="Times New Roman" w:hAnsi="Times New Roman"/>
          <w:i/>
          <w:sz w:val="20"/>
          <w:szCs w:val="20"/>
        </w:rPr>
        <w:t>Psychoeducational</w:t>
      </w:r>
      <w:proofErr w:type="spellEnd"/>
      <w:r w:rsidR="00372242" w:rsidRPr="00F06923">
        <w:rPr>
          <w:rFonts w:ascii="Times New Roman" w:hAnsi="Times New Roman"/>
          <w:i/>
          <w:sz w:val="20"/>
          <w:szCs w:val="20"/>
        </w:rPr>
        <w:t xml:space="preserve"> Assessment, 17(3), 207-225</w:t>
      </w:r>
      <w:r w:rsidR="00B41E3F" w:rsidRPr="00F06923">
        <w:rPr>
          <w:rFonts w:ascii="Times New Roman" w:hAnsi="Times New Roman"/>
          <w:i/>
          <w:sz w:val="20"/>
          <w:szCs w:val="20"/>
        </w:rPr>
        <w:t>.</w:t>
      </w:r>
      <w:r w:rsidR="00EA6531">
        <w:rPr>
          <w:rFonts w:ascii="Times New Roman" w:hAnsi="Times New Roman"/>
          <w:b/>
          <w:bCs/>
          <w:color w:val="333300"/>
          <w:sz w:val="20"/>
          <w:szCs w:val="20"/>
          <w:lang/>
        </w:rPr>
        <w:t xml:space="preserve"> </w:t>
      </w:r>
      <w:proofErr w:type="spellStart"/>
      <w:r w:rsidR="00B41E3F" w:rsidRPr="00F06923">
        <w:rPr>
          <w:rFonts w:ascii="Times New Roman" w:hAnsi="Times New Roman"/>
          <w:bCs/>
          <w:color w:val="333300"/>
          <w:sz w:val="20"/>
          <w:szCs w:val="20"/>
          <w:lang/>
        </w:rPr>
        <w:t>doi</w:t>
      </w:r>
      <w:proofErr w:type="spellEnd"/>
      <w:r w:rsidR="00B41E3F" w:rsidRPr="00F06923">
        <w:rPr>
          <w:rFonts w:ascii="Times New Roman" w:hAnsi="Times New Roman"/>
          <w:bCs/>
          <w:color w:val="333300"/>
          <w:sz w:val="20"/>
          <w:szCs w:val="20"/>
          <w:lang/>
        </w:rPr>
        <w:t xml:space="preserve">: </w:t>
      </w:r>
      <w:r w:rsidR="00B41E3F" w:rsidRPr="00F06923">
        <w:rPr>
          <w:rStyle w:val="slug-doi"/>
          <w:rFonts w:ascii="Times New Roman" w:hAnsi="Times New Roman"/>
          <w:bCs/>
          <w:color w:val="333300"/>
          <w:sz w:val="20"/>
          <w:szCs w:val="20"/>
          <w:lang/>
        </w:rPr>
        <w:t>10.1177/073428299901700302</w:t>
      </w:r>
    </w:p>
    <w:p w:rsidR="00F77910" w:rsidRPr="00F06923" w:rsidRDefault="00814C99" w:rsidP="008E4F0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Fisher, D., &amp; Frey, N. (2001).</w:t>
      </w:r>
      <w:proofErr w:type="gramEnd"/>
      <w:r w:rsidRPr="00F06923">
        <w:rPr>
          <w:rFonts w:ascii="Times New Roman" w:hAnsi="Times New Roman"/>
          <w:sz w:val="20"/>
          <w:szCs w:val="20"/>
        </w:rPr>
        <w:t xml:space="preserve"> Access to the core curriculum: C</w:t>
      </w:r>
      <w:r w:rsidR="00EA6531">
        <w:rPr>
          <w:rFonts w:ascii="Times New Roman" w:hAnsi="Times New Roman"/>
          <w:sz w:val="20"/>
          <w:szCs w:val="20"/>
        </w:rPr>
        <w:t xml:space="preserve">ritical ingredients for </w:t>
      </w:r>
      <w:proofErr w:type="spellStart"/>
      <w:r w:rsidR="00EA6531">
        <w:rPr>
          <w:rFonts w:ascii="Times New Roman" w:hAnsi="Times New Roman"/>
          <w:sz w:val="20"/>
          <w:szCs w:val="20"/>
        </w:rPr>
        <w:t>student</w:t>
      </w:r>
      <w:r w:rsidRPr="00F06923">
        <w:rPr>
          <w:rFonts w:ascii="Times New Roman" w:hAnsi="Times New Roman"/>
          <w:sz w:val="20"/>
          <w:szCs w:val="20"/>
        </w:rPr>
        <w:t>access</w:t>
      </w:r>
      <w:proofErr w:type="spellEnd"/>
      <w:r w:rsidRPr="00F06923">
        <w:rPr>
          <w:rFonts w:ascii="Times New Roman" w:hAnsi="Times New Roman"/>
          <w:sz w:val="20"/>
          <w:szCs w:val="20"/>
        </w:rPr>
        <w:t xml:space="preserve">. </w:t>
      </w:r>
      <w:r w:rsidR="000E5EA8" w:rsidRPr="00F06923">
        <w:rPr>
          <w:rFonts w:ascii="Times New Roman" w:hAnsi="Times New Roman"/>
          <w:i/>
          <w:sz w:val="20"/>
          <w:szCs w:val="20"/>
        </w:rPr>
        <w:t>Remedial and Special Education</w:t>
      </w:r>
      <w:r w:rsidRPr="00F06923">
        <w:rPr>
          <w:rFonts w:ascii="Times New Roman" w:hAnsi="Times New Roman"/>
          <w:sz w:val="20"/>
          <w:szCs w:val="20"/>
        </w:rPr>
        <w:t>, 22(3), 148-157</w:t>
      </w:r>
      <w:r w:rsidR="00260202" w:rsidRPr="00F06923">
        <w:rPr>
          <w:rFonts w:ascii="Times New Roman" w:hAnsi="Times New Roman"/>
          <w:sz w:val="20"/>
          <w:szCs w:val="20"/>
        </w:rPr>
        <w:t xml:space="preserve">. </w:t>
      </w:r>
      <w:proofErr w:type="spellStart"/>
      <w:proofErr w:type="gramStart"/>
      <w:r w:rsidR="00260202" w:rsidRPr="00F06923">
        <w:rPr>
          <w:rFonts w:ascii="Times New Roman" w:hAnsi="Times New Roman"/>
          <w:sz w:val="20"/>
          <w:szCs w:val="20"/>
        </w:rPr>
        <w:t>doi</w:t>
      </w:r>
      <w:proofErr w:type="spellEnd"/>
      <w:proofErr w:type="gramEnd"/>
      <w:r w:rsidR="00260202" w:rsidRPr="00F06923">
        <w:rPr>
          <w:rFonts w:ascii="Times New Roman" w:hAnsi="Times New Roman"/>
          <w:sz w:val="20"/>
          <w:szCs w:val="20"/>
        </w:rPr>
        <w:t>: 10.1177/074193250102200303 2001 22:</w:t>
      </w:r>
    </w:p>
    <w:p w:rsidR="00A47520" w:rsidRPr="00F06923" w:rsidRDefault="00A47520" w:rsidP="008E4F0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Fisher, D., Roach, V., &amp; Frey, N. (2002).</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Examining the ge</w:t>
      </w:r>
      <w:r w:rsidR="00EA6531">
        <w:rPr>
          <w:rFonts w:ascii="Times New Roman" w:hAnsi="Times New Roman"/>
          <w:sz w:val="20"/>
          <w:szCs w:val="20"/>
        </w:rPr>
        <w:t xml:space="preserve">neral programmatic benefits of </w:t>
      </w:r>
      <w:r w:rsidRPr="00F06923">
        <w:rPr>
          <w:rFonts w:ascii="Times New Roman" w:hAnsi="Times New Roman"/>
          <w:sz w:val="20"/>
          <w:szCs w:val="20"/>
        </w:rPr>
        <w:t>inclusive schools.</w:t>
      </w:r>
      <w:proofErr w:type="gramEnd"/>
      <w:r w:rsidRPr="00F06923">
        <w:rPr>
          <w:rFonts w:ascii="Times New Roman" w:hAnsi="Times New Roman"/>
          <w:sz w:val="20"/>
          <w:szCs w:val="20"/>
        </w:rPr>
        <w:t xml:space="preserve"> </w:t>
      </w:r>
      <w:r w:rsidRPr="00F06923">
        <w:rPr>
          <w:rFonts w:ascii="Times New Roman" w:hAnsi="Times New Roman"/>
          <w:i/>
          <w:sz w:val="20"/>
          <w:szCs w:val="20"/>
        </w:rPr>
        <w:t>International Journal of Inclusive Education</w:t>
      </w:r>
      <w:r w:rsidRPr="00F06923">
        <w:rPr>
          <w:rFonts w:ascii="Times New Roman" w:hAnsi="Times New Roman"/>
          <w:sz w:val="20"/>
          <w:szCs w:val="20"/>
        </w:rPr>
        <w:t>, 6(1), 63-78</w:t>
      </w:r>
    </w:p>
    <w:p w:rsidR="00E37AF8" w:rsidRPr="00F06923" w:rsidRDefault="00E37AF8" w:rsidP="008E4F04">
      <w:pPr>
        <w:spacing w:after="0" w:line="240" w:lineRule="auto"/>
        <w:contextualSpacing/>
        <w:rPr>
          <w:rFonts w:ascii="Times New Roman" w:hAnsi="Times New Roman"/>
          <w:sz w:val="20"/>
          <w:szCs w:val="20"/>
        </w:rPr>
      </w:pPr>
      <w:r w:rsidRPr="00F06923">
        <w:rPr>
          <w:rFonts w:ascii="Times New Roman" w:hAnsi="Times New Roman"/>
          <w:sz w:val="20"/>
          <w:szCs w:val="20"/>
        </w:rPr>
        <w:t>Greer v. Rome City, 967 F. Supp. 470 (</w:t>
      </w:r>
      <w:r w:rsidR="00485EBB" w:rsidRPr="00F06923">
        <w:rPr>
          <w:rFonts w:ascii="Times New Roman" w:hAnsi="Times New Roman"/>
          <w:sz w:val="20"/>
          <w:szCs w:val="20"/>
        </w:rPr>
        <w:t>11</w:t>
      </w:r>
      <w:r w:rsidR="00485EBB" w:rsidRPr="00F06923">
        <w:rPr>
          <w:rFonts w:ascii="Times New Roman" w:hAnsi="Times New Roman"/>
          <w:sz w:val="20"/>
          <w:szCs w:val="20"/>
          <w:vertAlign w:val="superscript"/>
        </w:rPr>
        <w:t>th</w:t>
      </w:r>
      <w:r w:rsidR="00485EBB" w:rsidRPr="00F06923">
        <w:rPr>
          <w:rFonts w:ascii="Times New Roman" w:hAnsi="Times New Roman"/>
          <w:sz w:val="20"/>
          <w:szCs w:val="20"/>
        </w:rPr>
        <w:t xml:space="preserve"> Cir. 1992)</w:t>
      </w:r>
    </w:p>
    <w:p w:rsidR="00F77910" w:rsidRPr="00F06923" w:rsidRDefault="00BC6DBD" w:rsidP="008E4F0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Individualized Classroom Accountability Network (</w:t>
      </w:r>
      <w:proofErr w:type="spellStart"/>
      <w:r w:rsidRPr="00F06923">
        <w:rPr>
          <w:rFonts w:ascii="Times New Roman" w:hAnsi="Times New Roman"/>
          <w:sz w:val="20"/>
          <w:szCs w:val="20"/>
        </w:rPr>
        <w:t>n.d</w:t>
      </w:r>
      <w:proofErr w:type="spellEnd"/>
      <w:r w:rsidRPr="00F06923">
        <w:rPr>
          <w:rFonts w:ascii="Times New Roman" w:hAnsi="Times New Roman"/>
          <w:sz w:val="20"/>
          <w:szCs w:val="20"/>
        </w:rPr>
        <w:t>.)</w:t>
      </w:r>
      <w:r w:rsidR="00EA6531">
        <w:rPr>
          <w:rFonts w:ascii="Times New Roman" w:hAnsi="Times New Roman"/>
          <w:sz w:val="20"/>
          <w:szCs w:val="20"/>
        </w:rPr>
        <w:t>.</w:t>
      </w:r>
      <w:proofErr w:type="gramEnd"/>
      <w:r w:rsidR="00EA6531">
        <w:rPr>
          <w:rFonts w:ascii="Times New Roman" w:hAnsi="Times New Roman"/>
          <w:sz w:val="20"/>
          <w:szCs w:val="20"/>
        </w:rPr>
        <w:t xml:space="preserve"> </w:t>
      </w:r>
      <w:proofErr w:type="gramStart"/>
      <w:r w:rsidR="00EA6531">
        <w:rPr>
          <w:rFonts w:ascii="Times New Roman" w:hAnsi="Times New Roman"/>
          <w:sz w:val="20"/>
          <w:szCs w:val="20"/>
        </w:rPr>
        <w:t xml:space="preserve">Retrieved from ICAN Project: </w:t>
      </w:r>
      <w:r w:rsidR="003F0F15" w:rsidRPr="00F06923">
        <w:rPr>
          <w:rFonts w:ascii="Times New Roman" w:hAnsi="Times New Roman"/>
          <w:sz w:val="20"/>
          <w:szCs w:val="20"/>
        </w:rPr>
        <w:t>https://ican.doe.state.in.us/beta/istart7.htm</w:t>
      </w:r>
      <w:r w:rsidR="00260202" w:rsidRPr="00F06923">
        <w:rPr>
          <w:rFonts w:ascii="Times New Roman" w:hAnsi="Times New Roman"/>
          <w:sz w:val="20"/>
          <w:szCs w:val="20"/>
        </w:rPr>
        <w:t>.</w:t>
      </w:r>
      <w:proofErr w:type="gramEnd"/>
      <w:r w:rsidR="00260202" w:rsidRPr="00F06923">
        <w:rPr>
          <w:rFonts w:ascii="Times New Roman" w:hAnsi="Times New Roman"/>
          <w:sz w:val="20"/>
          <w:szCs w:val="20"/>
        </w:rPr>
        <w:t xml:space="preserve"> </w:t>
      </w:r>
      <w:proofErr w:type="spellStart"/>
      <w:proofErr w:type="gramStart"/>
      <w:r w:rsidR="00260202" w:rsidRPr="00F06923">
        <w:rPr>
          <w:rFonts w:ascii="Times New Roman" w:hAnsi="Times New Roman"/>
          <w:bCs/>
          <w:sz w:val="20"/>
          <w:szCs w:val="20"/>
        </w:rPr>
        <w:t>doi</w:t>
      </w:r>
      <w:proofErr w:type="spellEnd"/>
      <w:proofErr w:type="gramEnd"/>
      <w:r w:rsidR="00260202" w:rsidRPr="00F06923">
        <w:rPr>
          <w:rFonts w:ascii="Times New Roman" w:hAnsi="Times New Roman"/>
          <w:b/>
          <w:bCs/>
          <w:sz w:val="20"/>
          <w:szCs w:val="20"/>
        </w:rPr>
        <w:t>:</w:t>
      </w:r>
      <w:r w:rsidR="00260202" w:rsidRPr="00F06923">
        <w:rPr>
          <w:rFonts w:ascii="Times New Roman" w:hAnsi="Times New Roman"/>
          <w:sz w:val="20"/>
          <w:szCs w:val="20"/>
        </w:rPr>
        <w:t xml:space="preserve"> 10.1080/13603110010035843</w:t>
      </w:r>
    </w:p>
    <w:p w:rsidR="00F77910" w:rsidRPr="00F06923" w:rsidRDefault="00BC6DBD" w:rsidP="008E4F04">
      <w:pPr>
        <w:spacing w:after="0" w:line="240" w:lineRule="auto"/>
        <w:contextualSpacing/>
        <w:rPr>
          <w:rFonts w:ascii="Times New Roman" w:hAnsi="Times New Roman"/>
          <w:bCs/>
          <w:sz w:val="20"/>
          <w:szCs w:val="20"/>
        </w:rPr>
      </w:pPr>
      <w:proofErr w:type="gramStart"/>
      <w:r w:rsidRPr="00F06923">
        <w:rPr>
          <w:rFonts w:ascii="Times New Roman" w:hAnsi="Times New Roman"/>
          <w:bCs/>
          <w:sz w:val="20"/>
          <w:szCs w:val="20"/>
        </w:rPr>
        <w:t>Individuals with Disabilities Education Act Amendments of 2004, Pub.</w:t>
      </w:r>
      <w:proofErr w:type="gramEnd"/>
      <w:r w:rsidRPr="00F06923">
        <w:rPr>
          <w:rFonts w:ascii="Times New Roman" w:hAnsi="Times New Roman"/>
          <w:bCs/>
          <w:sz w:val="20"/>
          <w:szCs w:val="20"/>
        </w:rPr>
        <w:t xml:space="preserve"> </w:t>
      </w:r>
      <w:proofErr w:type="gramStart"/>
      <w:r w:rsidRPr="00F06923">
        <w:rPr>
          <w:rFonts w:ascii="Times New Roman" w:hAnsi="Times New Roman"/>
          <w:bCs/>
          <w:sz w:val="20"/>
          <w:szCs w:val="20"/>
        </w:rPr>
        <w:t>L. No. 105-17, 111 Stat.</w:t>
      </w:r>
      <w:proofErr w:type="gramEnd"/>
      <w:r w:rsidRPr="00F06923">
        <w:rPr>
          <w:rFonts w:ascii="Times New Roman" w:hAnsi="Times New Roman"/>
          <w:bCs/>
          <w:sz w:val="20"/>
          <w:szCs w:val="20"/>
        </w:rPr>
        <w:t xml:space="preserve"> </w:t>
      </w:r>
      <w:r w:rsidRPr="00F06923">
        <w:rPr>
          <w:rFonts w:ascii="Times New Roman" w:hAnsi="Times New Roman"/>
          <w:bCs/>
          <w:sz w:val="20"/>
          <w:szCs w:val="20"/>
        </w:rPr>
        <w:tab/>
        <w:t xml:space="preserve">37 (codified as amended 20 U.S.C. </w:t>
      </w:r>
      <w:r w:rsidRPr="00F06923">
        <w:rPr>
          <w:rFonts w:ascii="Times New Roman" w:hAnsi="Times New Roman"/>
          <w:sz w:val="20"/>
          <w:szCs w:val="20"/>
        </w:rPr>
        <w:t>§</w:t>
      </w:r>
      <w:r w:rsidRPr="00F06923">
        <w:rPr>
          <w:rFonts w:ascii="Times New Roman" w:hAnsi="Times New Roman"/>
          <w:bCs/>
          <w:sz w:val="20"/>
          <w:szCs w:val="20"/>
        </w:rPr>
        <w:t xml:space="preserve">1400e t seq.). </w:t>
      </w:r>
    </w:p>
    <w:p w:rsidR="00F77910" w:rsidRPr="00F06923" w:rsidRDefault="00BC6DBD" w:rsidP="008E4F04">
      <w:pPr>
        <w:spacing w:after="0" w:line="240" w:lineRule="auto"/>
        <w:contextualSpacing/>
        <w:rPr>
          <w:rFonts w:ascii="Times New Roman" w:hAnsi="Times New Roman"/>
          <w:i/>
          <w:sz w:val="20"/>
          <w:szCs w:val="20"/>
        </w:rPr>
      </w:pPr>
      <w:proofErr w:type="gramStart"/>
      <w:r w:rsidRPr="00F06923">
        <w:rPr>
          <w:rFonts w:ascii="Times New Roman" w:hAnsi="Times New Roman"/>
          <w:sz w:val="20"/>
          <w:szCs w:val="20"/>
        </w:rPr>
        <w:t>Karvonen</w:t>
      </w:r>
      <w:r w:rsidR="004037B4" w:rsidRPr="00F06923">
        <w:rPr>
          <w:rFonts w:ascii="Times New Roman" w:hAnsi="Times New Roman"/>
          <w:sz w:val="20"/>
          <w:szCs w:val="20"/>
        </w:rPr>
        <w:t xml:space="preserve">, </w:t>
      </w:r>
      <w:r w:rsidRPr="00F06923">
        <w:rPr>
          <w:rFonts w:ascii="Times New Roman" w:hAnsi="Times New Roman"/>
          <w:sz w:val="20"/>
          <w:szCs w:val="20"/>
        </w:rPr>
        <w:t>M., &amp; Huynh,</w:t>
      </w:r>
      <w:r w:rsidR="004037B4" w:rsidRPr="00F06923">
        <w:rPr>
          <w:rFonts w:ascii="Times New Roman" w:hAnsi="Times New Roman"/>
          <w:sz w:val="20"/>
          <w:szCs w:val="20"/>
        </w:rPr>
        <w:t xml:space="preserve"> </w:t>
      </w:r>
      <w:r w:rsidRPr="00F06923">
        <w:rPr>
          <w:rFonts w:ascii="Times New Roman" w:hAnsi="Times New Roman"/>
          <w:sz w:val="20"/>
          <w:szCs w:val="20"/>
        </w:rPr>
        <w:t>H. (2007).</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 xml:space="preserve">Relationship between IEP characteristics and test scores on  </w:t>
      </w:r>
      <w:r w:rsidRPr="00F06923">
        <w:rPr>
          <w:rFonts w:ascii="Times New Roman" w:hAnsi="Times New Roman"/>
          <w:sz w:val="20"/>
          <w:szCs w:val="20"/>
        </w:rPr>
        <w:tab/>
        <w:t>an alternate assessment for students with significant cognitive disabilities.</w:t>
      </w:r>
      <w:proofErr w:type="gramEnd"/>
      <w:r w:rsidRPr="00F06923">
        <w:rPr>
          <w:rFonts w:ascii="Times New Roman" w:hAnsi="Times New Roman"/>
          <w:sz w:val="20"/>
          <w:szCs w:val="20"/>
        </w:rPr>
        <w:t xml:space="preserve"> </w:t>
      </w:r>
      <w:r w:rsidRPr="00F06923">
        <w:rPr>
          <w:rFonts w:ascii="Times New Roman" w:hAnsi="Times New Roman"/>
          <w:i/>
          <w:sz w:val="20"/>
          <w:szCs w:val="20"/>
        </w:rPr>
        <w:t xml:space="preserve">Applied </w:t>
      </w:r>
      <w:r w:rsidRPr="00F06923">
        <w:rPr>
          <w:rFonts w:ascii="Times New Roman" w:hAnsi="Times New Roman"/>
          <w:i/>
          <w:sz w:val="20"/>
          <w:szCs w:val="20"/>
        </w:rPr>
        <w:tab/>
        <w:t>Measurement in Education, 20 (3), 273-300.</w:t>
      </w:r>
    </w:p>
    <w:p w:rsidR="00F77910" w:rsidRPr="00F06923" w:rsidRDefault="00BC6DBD" w:rsidP="008E4F0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lastRenderedPageBreak/>
        <w:t xml:space="preserve">Lazarus, S. S., </w:t>
      </w:r>
      <w:proofErr w:type="spellStart"/>
      <w:r w:rsidRPr="00F06923">
        <w:rPr>
          <w:rFonts w:ascii="Times New Roman" w:hAnsi="Times New Roman"/>
          <w:sz w:val="20"/>
          <w:szCs w:val="20"/>
        </w:rPr>
        <w:t>Thurlow</w:t>
      </w:r>
      <w:proofErr w:type="spellEnd"/>
      <w:r w:rsidRPr="00F06923">
        <w:rPr>
          <w:rFonts w:ascii="Times New Roman" w:hAnsi="Times New Roman"/>
          <w:sz w:val="20"/>
          <w:szCs w:val="20"/>
        </w:rPr>
        <w:t>, M., Christenson, L. L., &amp; Cormier, D. (2007).</w:t>
      </w:r>
      <w:proofErr w:type="gramEnd"/>
      <w:r w:rsidRPr="00F06923">
        <w:rPr>
          <w:rFonts w:ascii="Times New Roman" w:hAnsi="Times New Roman"/>
          <w:sz w:val="20"/>
          <w:szCs w:val="20"/>
        </w:rPr>
        <w:t xml:space="preserve"> State</w:t>
      </w:r>
      <w:r w:rsidR="009F4B81" w:rsidRPr="00F06923">
        <w:rPr>
          <w:rFonts w:ascii="Times New Roman" w:hAnsi="Times New Roman"/>
          <w:sz w:val="20"/>
          <w:szCs w:val="20"/>
        </w:rPr>
        <w:t>’</w:t>
      </w:r>
      <w:r w:rsidRPr="00F06923">
        <w:rPr>
          <w:rFonts w:ascii="Times New Roman" w:hAnsi="Times New Roman"/>
          <w:sz w:val="20"/>
          <w:szCs w:val="20"/>
        </w:rPr>
        <w:t xml:space="preserve">s alternate </w:t>
      </w:r>
      <w:r w:rsidRPr="00F06923">
        <w:rPr>
          <w:rFonts w:ascii="Times New Roman" w:hAnsi="Times New Roman"/>
          <w:sz w:val="20"/>
          <w:szCs w:val="20"/>
        </w:rPr>
        <w:tab/>
        <w:t>assessments based on alternate achievement standar</w:t>
      </w:r>
      <w:r w:rsidR="008E4F04">
        <w:rPr>
          <w:rFonts w:ascii="Times New Roman" w:hAnsi="Times New Roman"/>
          <w:sz w:val="20"/>
          <w:szCs w:val="20"/>
        </w:rPr>
        <w:t xml:space="preserve">ds (AA-MAS) in 2007 (Synthesis </w:t>
      </w:r>
      <w:r w:rsidRPr="00F06923">
        <w:rPr>
          <w:rFonts w:ascii="Times New Roman" w:hAnsi="Times New Roman"/>
          <w:sz w:val="20"/>
          <w:szCs w:val="20"/>
        </w:rPr>
        <w:t>Report 67). Minneapolis, MN: University of Minnesota, National Center on Educational Outcomes.</w:t>
      </w:r>
    </w:p>
    <w:p w:rsidR="00F77910" w:rsidRDefault="00BC6DBD" w:rsidP="008E4F04">
      <w:pPr>
        <w:spacing w:after="0" w:line="240" w:lineRule="auto"/>
        <w:contextualSpacing/>
        <w:rPr>
          <w:rFonts w:ascii="Times New Roman" w:hAnsi="Times New Roman"/>
          <w:i/>
          <w:sz w:val="20"/>
          <w:szCs w:val="20"/>
        </w:rPr>
      </w:pPr>
      <w:r w:rsidRPr="00F06923">
        <w:rPr>
          <w:rFonts w:ascii="Times New Roman" w:hAnsi="Times New Roman"/>
          <w:sz w:val="20"/>
          <w:szCs w:val="20"/>
        </w:rPr>
        <w:t>Lee, S.</w:t>
      </w:r>
      <w:r w:rsidR="004037B4" w:rsidRPr="00F06923">
        <w:rPr>
          <w:rFonts w:ascii="Times New Roman" w:hAnsi="Times New Roman"/>
          <w:sz w:val="20"/>
          <w:szCs w:val="20"/>
        </w:rPr>
        <w:t xml:space="preserve"> </w:t>
      </w:r>
      <w:r w:rsidRPr="00F06923">
        <w:rPr>
          <w:rFonts w:ascii="Times New Roman" w:hAnsi="Times New Roman"/>
          <w:sz w:val="20"/>
          <w:szCs w:val="20"/>
        </w:rPr>
        <w:t xml:space="preserve">S., </w:t>
      </w:r>
      <w:proofErr w:type="spellStart"/>
      <w:r w:rsidRPr="00F06923">
        <w:rPr>
          <w:rFonts w:ascii="Times New Roman" w:hAnsi="Times New Roman"/>
          <w:sz w:val="20"/>
          <w:szCs w:val="20"/>
        </w:rPr>
        <w:t>Wehmeyer</w:t>
      </w:r>
      <w:proofErr w:type="spellEnd"/>
      <w:r w:rsidRPr="00F06923">
        <w:rPr>
          <w:rFonts w:ascii="Times New Roman" w:hAnsi="Times New Roman"/>
          <w:sz w:val="20"/>
          <w:szCs w:val="20"/>
        </w:rPr>
        <w:t xml:space="preserve">, L., </w:t>
      </w:r>
      <w:proofErr w:type="spellStart"/>
      <w:r w:rsidRPr="00F06923">
        <w:rPr>
          <w:rFonts w:ascii="Times New Roman" w:hAnsi="Times New Roman"/>
          <w:sz w:val="20"/>
          <w:szCs w:val="20"/>
        </w:rPr>
        <w:t>Soukup</w:t>
      </w:r>
      <w:proofErr w:type="spellEnd"/>
      <w:r w:rsidRPr="00F06923">
        <w:rPr>
          <w:rFonts w:ascii="Times New Roman" w:hAnsi="Times New Roman"/>
          <w:sz w:val="20"/>
          <w:szCs w:val="20"/>
        </w:rPr>
        <w:t>,</w:t>
      </w:r>
      <w:r w:rsidR="004037B4" w:rsidRPr="00F06923">
        <w:rPr>
          <w:rFonts w:ascii="Times New Roman" w:hAnsi="Times New Roman"/>
          <w:sz w:val="20"/>
          <w:szCs w:val="20"/>
        </w:rPr>
        <w:t xml:space="preserve"> </w:t>
      </w:r>
      <w:r w:rsidRPr="00F06923">
        <w:rPr>
          <w:rFonts w:ascii="Times New Roman" w:hAnsi="Times New Roman"/>
          <w:sz w:val="20"/>
          <w:szCs w:val="20"/>
        </w:rPr>
        <w:t>J., &amp; Palmer,</w:t>
      </w:r>
      <w:r w:rsidR="004037B4" w:rsidRPr="00F06923">
        <w:rPr>
          <w:rFonts w:ascii="Times New Roman" w:hAnsi="Times New Roman"/>
          <w:sz w:val="20"/>
          <w:szCs w:val="20"/>
        </w:rPr>
        <w:t xml:space="preserve"> </w:t>
      </w:r>
      <w:r w:rsidRPr="00F06923">
        <w:rPr>
          <w:rFonts w:ascii="Times New Roman" w:hAnsi="Times New Roman"/>
          <w:sz w:val="20"/>
          <w:szCs w:val="20"/>
        </w:rPr>
        <w:t xml:space="preserve">S. (2010). </w:t>
      </w:r>
      <w:proofErr w:type="gramStart"/>
      <w:r w:rsidRPr="00F06923">
        <w:rPr>
          <w:rFonts w:ascii="Times New Roman" w:hAnsi="Times New Roman"/>
          <w:sz w:val="20"/>
          <w:szCs w:val="20"/>
        </w:rPr>
        <w:t xml:space="preserve">Impact of curriculum modifications </w:t>
      </w:r>
      <w:r w:rsidRPr="00F06923">
        <w:rPr>
          <w:rFonts w:ascii="Times New Roman" w:hAnsi="Times New Roman"/>
          <w:sz w:val="20"/>
          <w:szCs w:val="20"/>
        </w:rPr>
        <w:tab/>
        <w:t xml:space="preserve">on access to the general education curriculum for students with </w:t>
      </w:r>
      <w:proofErr w:type="spellStart"/>
      <w:r w:rsidRPr="00F06923">
        <w:rPr>
          <w:rFonts w:ascii="Times New Roman" w:hAnsi="Times New Roman"/>
          <w:sz w:val="20"/>
          <w:szCs w:val="20"/>
        </w:rPr>
        <w:t>disabilities.</w:t>
      </w:r>
      <w:r w:rsidRPr="00F06923">
        <w:rPr>
          <w:rFonts w:ascii="Times New Roman" w:hAnsi="Times New Roman"/>
          <w:i/>
          <w:sz w:val="20"/>
          <w:szCs w:val="20"/>
        </w:rPr>
        <w:t>Exceptional</w:t>
      </w:r>
      <w:proofErr w:type="spellEnd"/>
      <w:r w:rsidRPr="00F06923">
        <w:rPr>
          <w:rFonts w:ascii="Times New Roman" w:hAnsi="Times New Roman"/>
          <w:i/>
          <w:sz w:val="20"/>
          <w:szCs w:val="20"/>
        </w:rPr>
        <w:t xml:space="preserve"> Children, 76 (2), 213-233.</w:t>
      </w:r>
      <w:proofErr w:type="gramEnd"/>
    </w:p>
    <w:p w:rsidR="001F5994" w:rsidRPr="008E4F04" w:rsidRDefault="001F5994" w:rsidP="001F5994">
      <w:pPr>
        <w:spacing w:after="0" w:line="240" w:lineRule="auto"/>
        <w:contextualSpacing/>
        <w:rPr>
          <w:rFonts w:ascii="Times New Roman" w:hAnsi="Times New Roman"/>
          <w:i/>
          <w:sz w:val="20"/>
          <w:szCs w:val="20"/>
        </w:rPr>
      </w:pPr>
      <w:proofErr w:type="spellStart"/>
      <w:r w:rsidRPr="00F06923">
        <w:rPr>
          <w:rFonts w:ascii="Times New Roman" w:hAnsi="Times New Roman"/>
          <w:sz w:val="20"/>
          <w:szCs w:val="20"/>
        </w:rPr>
        <w:t>McCausland</w:t>
      </w:r>
      <w:proofErr w:type="spellEnd"/>
      <w:r w:rsidRPr="00F06923">
        <w:rPr>
          <w:rFonts w:ascii="Times New Roman" w:hAnsi="Times New Roman"/>
          <w:sz w:val="20"/>
          <w:szCs w:val="20"/>
        </w:rPr>
        <w:t xml:space="preserve">, D. (2005). </w:t>
      </w:r>
      <w:r w:rsidRPr="00F06923">
        <w:rPr>
          <w:rFonts w:ascii="Times New Roman" w:hAnsi="Times New Roman"/>
          <w:i/>
          <w:sz w:val="20"/>
          <w:szCs w:val="20"/>
        </w:rPr>
        <w:t>International experience in the provision of individual education plans for children with disabilities.</w:t>
      </w:r>
      <w:r w:rsidRPr="00F06923">
        <w:rPr>
          <w:rFonts w:ascii="Times New Roman" w:hAnsi="Times New Roman"/>
          <w:sz w:val="20"/>
          <w:szCs w:val="20"/>
        </w:rPr>
        <w:t xml:space="preserve"> Dublin:</w:t>
      </w:r>
      <w:r w:rsidRPr="00F06923">
        <w:rPr>
          <w:rFonts w:ascii="Times New Roman" w:hAnsi="Times New Roman"/>
          <w:i/>
          <w:sz w:val="20"/>
          <w:szCs w:val="20"/>
        </w:rPr>
        <w:t xml:space="preserve"> </w:t>
      </w:r>
      <w:r w:rsidRPr="00F06923">
        <w:rPr>
          <w:rFonts w:ascii="Times New Roman" w:hAnsi="Times New Roman"/>
          <w:sz w:val="20"/>
          <w:szCs w:val="20"/>
        </w:rPr>
        <w:t xml:space="preserve">National Disability Authority. </w:t>
      </w:r>
    </w:p>
    <w:p w:rsidR="001F5994" w:rsidRPr="00F06923" w:rsidRDefault="001F5994" w:rsidP="001F599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National Association of State Department of Special Educators (2007, June).</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A seven-step process to creating standards-ba</w:t>
      </w:r>
      <w:r>
        <w:rPr>
          <w:rFonts w:ascii="Times New Roman" w:hAnsi="Times New Roman"/>
          <w:sz w:val="20"/>
          <w:szCs w:val="20"/>
        </w:rPr>
        <w:t>sed IEPs.</w:t>
      </w:r>
      <w:proofErr w:type="gramEnd"/>
      <w:r>
        <w:rPr>
          <w:rFonts w:ascii="Times New Roman" w:hAnsi="Times New Roman"/>
          <w:sz w:val="20"/>
          <w:szCs w:val="20"/>
        </w:rPr>
        <w:t xml:space="preserve"> Retrieved from </w:t>
      </w:r>
      <w:r w:rsidRPr="00F06923">
        <w:rPr>
          <w:rFonts w:ascii="Times New Roman" w:hAnsi="Times New Roman"/>
          <w:sz w:val="20"/>
          <w:szCs w:val="20"/>
        </w:rPr>
        <w:t>http://www.nasdse.org/Portals/0/SevenStepProcesstoCreatingStandards-basedIEPs.pdf</w:t>
      </w:r>
    </w:p>
    <w:p w:rsidR="001F5994" w:rsidRPr="00F06923" w:rsidRDefault="001F5994" w:rsidP="001F5994">
      <w:pPr>
        <w:spacing w:after="0" w:line="240" w:lineRule="auto"/>
        <w:contextualSpacing/>
        <w:rPr>
          <w:rFonts w:ascii="Times New Roman" w:hAnsi="Times New Roman"/>
          <w:sz w:val="20"/>
          <w:szCs w:val="20"/>
        </w:rPr>
      </w:pPr>
      <w:proofErr w:type="spellStart"/>
      <w:r w:rsidRPr="00F06923">
        <w:rPr>
          <w:rFonts w:ascii="Times New Roman" w:hAnsi="Times New Roman"/>
          <w:sz w:val="20"/>
          <w:szCs w:val="20"/>
        </w:rPr>
        <w:t>Oberti</w:t>
      </w:r>
      <w:proofErr w:type="spellEnd"/>
      <w:r w:rsidRPr="00F06923">
        <w:rPr>
          <w:rFonts w:ascii="Times New Roman" w:hAnsi="Times New Roman"/>
          <w:sz w:val="20"/>
          <w:szCs w:val="20"/>
        </w:rPr>
        <w:t xml:space="preserve"> v. Board of Education, 995 F. Supp. 1204 (3</w:t>
      </w:r>
      <w:r w:rsidRPr="00F06923">
        <w:rPr>
          <w:rFonts w:ascii="Times New Roman" w:hAnsi="Times New Roman"/>
          <w:sz w:val="20"/>
          <w:szCs w:val="20"/>
          <w:vertAlign w:val="superscript"/>
        </w:rPr>
        <w:t>rd</w:t>
      </w:r>
      <w:r w:rsidRPr="00F06923">
        <w:rPr>
          <w:rFonts w:ascii="Times New Roman" w:hAnsi="Times New Roman"/>
          <w:sz w:val="20"/>
          <w:szCs w:val="20"/>
        </w:rPr>
        <w:t xml:space="preserve"> Cir. 1993)</w:t>
      </w:r>
    </w:p>
    <w:p w:rsidR="001F5994" w:rsidRPr="00F06923" w:rsidRDefault="001F5994" w:rsidP="001F5994">
      <w:pPr>
        <w:widowControl w:val="0"/>
        <w:autoSpaceDE w:val="0"/>
        <w:autoSpaceDN w:val="0"/>
        <w:adjustRightInd w:val="0"/>
        <w:spacing w:after="0" w:line="240" w:lineRule="auto"/>
        <w:rPr>
          <w:rFonts w:ascii="Times New Roman" w:hAnsi="Times New Roman"/>
          <w:sz w:val="20"/>
          <w:szCs w:val="20"/>
        </w:rPr>
      </w:pPr>
      <w:proofErr w:type="spellStart"/>
      <w:proofErr w:type="gramStart"/>
      <w:r w:rsidRPr="00F06923">
        <w:rPr>
          <w:rFonts w:ascii="Times New Roman" w:hAnsi="Times New Roman"/>
          <w:sz w:val="20"/>
          <w:szCs w:val="20"/>
        </w:rPr>
        <w:t>Pullin</w:t>
      </w:r>
      <w:proofErr w:type="spellEnd"/>
      <w:r w:rsidRPr="00F06923">
        <w:rPr>
          <w:rFonts w:ascii="Times New Roman" w:hAnsi="Times New Roman"/>
          <w:sz w:val="20"/>
          <w:szCs w:val="20"/>
        </w:rPr>
        <w:t xml:space="preserve">, D., &amp; </w:t>
      </w:r>
      <w:proofErr w:type="spellStart"/>
      <w:r w:rsidRPr="00F06923">
        <w:rPr>
          <w:rFonts w:ascii="Times New Roman" w:hAnsi="Times New Roman"/>
          <w:sz w:val="20"/>
          <w:szCs w:val="20"/>
        </w:rPr>
        <w:t>Hartel</w:t>
      </w:r>
      <w:proofErr w:type="spellEnd"/>
      <w:r w:rsidRPr="00F06923">
        <w:rPr>
          <w:rFonts w:ascii="Times New Roman" w:hAnsi="Times New Roman"/>
          <w:sz w:val="20"/>
          <w:szCs w:val="20"/>
        </w:rPr>
        <w:t>, E., (2008).</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 xml:space="preserve">Assessment through the lens of </w:t>
      </w:r>
      <w:r w:rsidRPr="005C7EDB">
        <w:rPr>
          <w:rFonts w:ascii="Times New Roman" w:hAnsi="Times New Roman"/>
          <w:i/>
          <w:sz w:val="20"/>
          <w:szCs w:val="20"/>
        </w:rPr>
        <w:t>opportunity to learn.</w:t>
      </w:r>
      <w:proofErr w:type="gramEnd"/>
      <w:r w:rsidR="005C7EDB">
        <w:rPr>
          <w:rFonts w:ascii="Times New Roman" w:hAnsi="Times New Roman"/>
          <w:i/>
          <w:sz w:val="20"/>
          <w:szCs w:val="20"/>
        </w:rPr>
        <w:t xml:space="preserve"> </w:t>
      </w:r>
      <w:proofErr w:type="gramStart"/>
      <w:r w:rsidRPr="00F06923">
        <w:rPr>
          <w:rFonts w:ascii="Times New Roman" w:hAnsi="Times New Roman"/>
          <w:sz w:val="20"/>
          <w:szCs w:val="20"/>
        </w:rPr>
        <w:t>In P.A.</w:t>
      </w:r>
      <w:proofErr w:type="gramEnd"/>
      <w:r w:rsidRPr="00F06923">
        <w:rPr>
          <w:rFonts w:ascii="Times New Roman" w:hAnsi="Times New Roman"/>
          <w:sz w:val="20"/>
          <w:szCs w:val="20"/>
        </w:rPr>
        <w:t xml:space="preserve"> </w:t>
      </w:r>
      <w:r w:rsidRPr="00F06923">
        <w:rPr>
          <w:rFonts w:ascii="Times New Roman" w:hAnsi="Times New Roman"/>
          <w:sz w:val="20"/>
          <w:szCs w:val="20"/>
        </w:rPr>
        <w:tab/>
        <w:t xml:space="preserve">Moss, D.C. </w:t>
      </w:r>
      <w:proofErr w:type="spellStart"/>
      <w:r w:rsidRPr="00F06923">
        <w:rPr>
          <w:rFonts w:ascii="Times New Roman" w:hAnsi="Times New Roman"/>
          <w:sz w:val="20"/>
          <w:szCs w:val="20"/>
        </w:rPr>
        <w:t>Pullin</w:t>
      </w:r>
      <w:proofErr w:type="spellEnd"/>
      <w:r w:rsidRPr="00F06923">
        <w:rPr>
          <w:rFonts w:ascii="Times New Roman" w:hAnsi="Times New Roman"/>
          <w:sz w:val="20"/>
          <w:szCs w:val="20"/>
        </w:rPr>
        <w:t xml:space="preserve">, J. P. Gee, E. H. </w:t>
      </w:r>
      <w:proofErr w:type="spellStart"/>
      <w:r w:rsidRPr="00F06923">
        <w:rPr>
          <w:rFonts w:ascii="Times New Roman" w:hAnsi="Times New Roman"/>
          <w:sz w:val="20"/>
          <w:szCs w:val="20"/>
        </w:rPr>
        <w:t>Heartel</w:t>
      </w:r>
      <w:proofErr w:type="spellEnd"/>
      <w:r w:rsidRPr="00F06923">
        <w:rPr>
          <w:rFonts w:ascii="Times New Roman" w:hAnsi="Times New Roman"/>
          <w:sz w:val="20"/>
          <w:szCs w:val="20"/>
        </w:rPr>
        <w:t xml:space="preserve">, &amp; L. J. Young (Eds.), Assessment, equity, </w:t>
      </w:r>
      <w:r w:rsidRPr="00F06923">
        <w:rPr>
          <w:rFonts w:ascii="Times New Roman" w:hAnsi="Times New Roman"/>
          <w:sz w:val="20"/>
          <w:szCs w:val="20"/>
        </w:rPr>
        <w:tab/>
        <w:t>and opportunity to learn (pp. 17-41). New York: Cambridge University Press</w:t>
      </w:r>
    </w:p>
    <w:p w:rsidR="001F5994" w:rsidRPr="00F06923" w:rsidRDefault="001F5994" w:rsidP="001F5994">
      <w:pPr>
        <w:spacing w:after="0" w:line="240" w:lineRule="auto"/>
        <w:contextualSpacing/>
        <w:rPr>
          <w:rFonts w:ascii="Times New Roman" w:hAnsi="Times New Roman"/>
          <w:i/>
          <w:sz w:val="20"/>
          <w:szCs w:val="20"/>
        </w:rPr>
      </w:pPr>
      <w:proofErr w:type="gramStart"/>
      <w:r w:rsidRPr="00F06923">
        <w:rPr>
          <w:rFonts w:ascii="Times New Roman" w:hAnsi="Times New Roman"/>
          <w:sz w:val="20"/>
          <w:szCs w:val="20"/>
        </w:rPr>
        <w:t xml:space="preserve">Roach, A. T., </w:t>
      </w:r>
      <w:proofErr w:type="spellStart"/>
      <w:r w:rsidRPr="00F06923">
        <w:rPr>
          <w:rFonts w:ascii="Times New Roman" w:hAnsi="Times New Roman"/>
          <w:sz w:val="20"/>
          <w:szCs w:val="20"/>
        </w:rPr>
        <w:t>Chilungu</w:t>
      </w:r>
      <w:proofErr w:type="spellEnd"/>
      <w:r w:rsidRPr="00F06923">
        <w:rPr>
          <w:rFonts w:ascii="Times New Roman" w:hAnsi="Times New Roman"/>
          <w:sz w:val="20"/>
          <w:szCs w:val="20"/>
        </w:rPr>
        <w:t xml:space="preserve">, N., La Salle, T. P., </w:t>
      </w:r>
      <w:proofErr w:type="spellStart"/>
      <w:r w:rsidRPr="00F06923">
        <w:rPr>
          <w:rFonts w:ascii="Times New Roman" w:hAnsi="Times New Roman"/>
          <w:sz w:val="20"/>
          <w:szCs w:val="20"/>
        </w:rPr>
        <w:t>Talapatra</w:t>
      </w:r>
      <w:proofErr w:type="spellEnd"/>
      <w:r w:rsidRPr="00F06923">
        <w:rPr>
          <w:rFonts w:ascii="Times New Roman" w:hAnsi="Times New Roman"/>
          <w:sz w:val="20"/>
          <w:szCs w:val="20"/>
        </w:rPr>
        <w:t xml:space="preserve">, D., &amp; </w:t>
      </w:r>
      <w:proofErr w:type="spellStart"/>
      <w:r w:rsidRPr="00F06923">
        <w:rPr>
          <w:rFonts w:ascii="Times New Roman" w:hAnsi="Times New Roman"/>
          <w:sz w:val="20"/>
          <w:szCs w:val="20"/>
        </w:rPr>
        <w:t>Vignieri</w:t>
      </w:r>
      <w:proofErr w:type="spellEnd"/>
      <w:r w:rsidRPr="00F06923">
        <w:rPr>
          <w:rFonts w:ascii="Times New Roman" w:hAnsi="Times New Roman"/>
          <w:sz w:val="20"/>
          <w:szCs w:val="20"/>
        </w:rPr>
        <w:t>, M., (2009).</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 xml:space="preserve">Opportunities </w:t>
      </w:r>
      <w:r w:rsidRPr="00F06923">
        <w:rPr>
          <w:rFonts w:ascii="Times New Roman" w:hAnsi="Times New Roman"/>
          <w:sz w:val="20"/>
          <w:szCs w:val="20"/>
        </w:rPr>
        <w:tab/>
        <w:t xml:space="preserve">and options for facilitating and evaluating access to the general curriculum for students </w:t>
      </w:r>
      <w:r w:rsidRPr="00F06923">
        <w:rPr>
          <w:rFonts w:ascii="Times New Roman" w:hAnsi="Times New Roman"/>
          <w:sz w:val="20"/>
          <w:szCs w:val="20"/>
        </w:rPr>
        <w:tab/>
        <w:t>with disabilities.</w:t>
      </w:r>
      <w:proofErr w:type="gramEnd"/>
      <w:r w:rsidRPr="00F06923">
        <w:rPr>
          <w:rFonts w:ascii="Times New Roman" w:hAnsi="Times New Roman"/>
          <w:sz w:val="20"/>
          <w:szCs w:val="20"/>
        </w:rPr>
        <w:t xml:space="preserve">  </w:t>
      </w:r>
      <w:proofErr w:type="gramStart"/>
      <w:r w:rsidRPr="00F06923">
        <w:rPr>
          <w:rFonts w:ascii="Times New Roman" w:hAnsi="Times New Roman"/>
          <w:i/>
          <w:sz w:val="20"/>
          <w:szCs w:val="20"/>
        </w:rPr>
        <w:t>Peabody Journal of Education, 84,511-528.</w:t>
      </w:r>
      <w:proofErr w:type="gramEnd"/>
      <w:r w:rsidRPr="00F06923">
        <w:rPr>
          <w:rFonts w:ascii="Times New Roman" w:hAnsi="Times New Roman"/>
          <w:sz w:val="20"/>
          <w:szCs w:val="20"/>
        </w:rPr>
        <w:t xml:space="preserve"> </w:t>
      </w:r>
      <w:hyperlink r:id="rId9" w:history="1">
        <w:proofErr w:type="gramStart"/>
        <w:r w:rsidRPr="00F06923">
          <w:rPr>
            <w:rStyle w:val="Hyperlink"/>
            <w:rFonts w:ascii="Times New Roman" w:hAnsi="Times New Roman"/>
            <w:color w:val="auto"/>
            <w:sz w:val="20"/>
            <w:szCs w:val="20"/>
            <w:u w:val="none"/>
          </w:rPr>
          <w:t>doi:</w:t>
        </w:r>
        <w:proofErr w:type="gramEnd"/>
        <w:r w:rsidRPr="00F06923">
          <w:rPr>
            <w:rStyle w:val="Hyperlink"/>
            <w:rFonts w:ascii="Times New Roman" w:hAnsi="Times New Roman"/>
            <w:color w:val="auto"/>
            <w:sz w:val="20"/>
            <w:szCs w:val="20"/>
            <w:u w:val="none"/>
          </w:rPr>
          <w:t>10.1080/01619560903240954</w:t>
        </w:r>
      </w:hyperlink>
    </w:p>
    <w:p w:rsidR="001F5994" w:rsidRPr="00F06923" w:rsidRDefault="001F5994" w:rsidP="001F5994">
      <w:pPr>
        <w:spacing w:after="0" w:line="240" w:lineRule="auto"/>
        <w:contextualSpacing/>
        <w:rPr>
          <w:rFonts w:ascii="Times New Roman" w:hAnsi="Times New Roman"/>
          <w:i/>
          <w:sz w:val="20"/>
          <w:szCs w:val="20"/>
        </w:rPr>
      </w:pPr>
      <w:proofErr w:type="gramStart"/>
      <w:r w:rsidRPr="00F06923">
        <w:rPr>
          <w:rFonts w:ascii="Times New Roman" w:hAnsi="Times New Roman"/>
          <w:sz w:val="20"/>
          <w:szCs w:val="20"/>
        </w:rPr>
        <w:t>Roach, A. T., &amp; Elliot, S. T. (2006).</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The influence of access to edu</w:t>
      </w:r>
      <w:r>
        <w:rPr>
          <w:rFonts w:ascii="Times New Roman" w:hAnsi="Times New Roman"/>
          <w:sz w:val="20"/>
          <w:szCs w:val="20"/>
        </w:rPr>
        <w:t xml:space="preserve">cation curriculum on alternate </w:t>
      </w:r>
      <w:r w:rsidRPr="00F06923">
        <w:rPr>
          <w:rFonts w:ascii="Times New Roman" w:hAnsi="Times New Roman"/>
          <w:sz w:val="20"/>
          <w:szCs w:val="20"/>
        </w:rPr>
        <w:t>assessment performance of students with significant cognitive disabilities.</w:t>
      </w:r>
      <w:proofErr w:type="gramEnd"/>
      <w:r w:rsidRPr="00F06923">
        <w:rPr>
          <w:rFonts w:ascii="Times New Roman" w:hAnsi="Times New Roman"/>
          <w:sz w:val="20"/>
          <w:szCs w:val="20"/>
        </w:rPr>
        <w:t xml:space="preserve"> </w:t>
      </w:r>
      <w:r w:rsidRPr="00F06923">
        <w:rPr>
          <w:rFonts w:ascii="Times New Roman" w:hAnsi="Times New Roman"/>
          <w:i/>
          <w:sz w:val="20"/>
          <w:szCs w:val="20"/>
        </w:rPr>
        <w:t xml:space="preserve">Educational </w:t>
      </w:r>
      <w:r w:rsidRPr="00F06923">
        <w:rPr>
          <w:rFonts w:ascii="Times New Roman" w:hAnsi="Times New Roman"/>
          <w:i/>
          <w:sz w:val="20"/>
          <w:szCs w:val="20"/>
        </w:rPr>
        <w:tab/>
        <w:t>Evaluation and Policy Analysis, 28 (2), 181-194.</w:t>
      </w:r>
      <w:r w:rsidRPr="00F06923">
        <w:rPr>
          <w:rFonts w:ascii="Times New Roman" w:hAnsi="Times New Roman"/>
          <w:sz w:val="20"/>
          <w:szCs w:val="20"/>
        </w:rPr>
        <w:t xml:space="preserve"> </w:t>
      </w:r>
      <w:hyperlink r:id="rId10" w:history="1">
        <w:proofErr w:type="gramStart"/>
        <w:r w:rsidRPr="00F06923">
          <w:rPr>
            <w:rFonts w:ascii="Times New Roman" w:hAnsi="Times New Roman"/>
            <w:sz w:val="20"/>
            <w:szCs w:val="20"/>
          </w:rPr>
          <w:t>doi:</w:t>
        </w:r>
        <w:proofErr w:type="gramEnd"/>
        <w:r w:rsidRPr="00F06923">
          <w:rPr>
            <w:rFonts w:ascii="Times New Roman" w:hAnsi="Times New Roman"/>
            <w:sz w:val="20"/>
            <w:szCs w:val="20"/>
          </w:rPr>
          <w:t>10.1080/01619560903240954</w:t>
        </w:r>
      </w:hyperlink>
    </w:p>
    <w:p w:rsidR="001F5994" w:rsidRPr="00F06923" w:rsidRDefault="001F5994" w:rsidP="001F5994">
      <w:pPr>
        <w:spacing w:after="0" w:line="240" w:lineRule="auto"/>
        <w:contextualSpacing/>
        <w:rPr>
          <w:rFonts w:ascii="Times New Roman" w:hAnsi="Times New Roman"/>
          <w:sz w:val="20"/>
          <w:szCs w:val="20"/>
        </w:rPr>
      </w:pPr>
      <w:proofErr w:type="spellStart"/>
      <w:r w:rsidRPr="00F06923">
        <w:rPr>
          <w:rFonts w:ascii="Times New Roman" w:hAnsi="Times New Roman"/>
          <w:sz w:val="20"/>
          <w:szCs w:val="20"/>
        </w:rPr>
        <w:t>Schragg</w:t>
      </w:r>
      <w:proofErr w:type="spellEnd"/>
      <w:proofErr w:type="gramStart"/>
      <w:r w:rsidRPr="00F06923">
        <w:rPr>
          <w:rFonts w:ascii="Times New Roman" w:hAnsi="Times New Roman"/>
          <w:sz w:val="20"/>
          <w:szCs w:val="20"/>
        </w:rPr>
        <w:t>,  J</w:t>
      </w:r>
      <w:proofErr w:type="gramEnd"/>
      <w:r w:rsidRPr="00F06923">
        <w:rPr>
          <w:rFonts w:ascii="Times New Roman" w:hAnsi="Times New Roman"/>
          <w:sz w:val="20"/>
          <w:szCs w:val="20"/>
        </w:rPr>
        <w:t>. (1996) The IEP: benefits, challenges and fu</w:t>
      </w:r>
      <w:r>
        <w:rPr>
          <w:rFonts w:ascii="Times New Roman" w:hAnsi="Times New Roman"/>
          <w:sz w:val="20"/>
          <w:szCs w:val="20"/>
        </w:rPr>
        <w:t xml:space="preserve">ture directions. </w:t>
      </w:r>
      <w:proofErr w:type="gramStart"/>
      <w:r>
        <w:rPr>
          <w:rFonts w:ascii="Times New Roman" w:hAnsi="Times New Roman"/>
          <w:sz w:val="20"/>
          <w:szCs w:val="20"/>
        </w:rPr>
        <w:t>final</w:t>
      </w:r>
      <w:proofErr w:type="gramEnd"/>
      <w:r>
        <w:rPr>
          <w:rFonts w:ascii="Times New Roman" w:hAnsi="Times New Roman"/>
          <w:sz w:val="20"/>
          <w:szCs w:val="20"/>
        </w:rPr>
        <w:t xml:space="preserve"> report. </w:t>
      </w:r>
      <w:proofErr w:type="spellStart"/>
      <w:r w:rsidRPr="00F06923">
        <w:rPr>
          <w:rFonts w:ascii="Times New Roman" w:hAnsi="Times New Roman"/>
          <w:sz w:val="20"/>
          <w:szCs w:val="20"/>
        </w:rPr>
        <w:t>Alexandria</w:t>
      </w:r>
      <w:proofErr w:type="gramStart"/>
      <w:r w:rsidRPr="00F06923">
        <w:rPr>
          <w:rFonts w:ascii="Times New Roman" w:hAnsi="Times New Roman"/>
          <w:sz w:val="20"/>
          <w:szCs w:val="20"/>
        </w:rPr>
        <w:t>,VA</w:t>
      </w:r>
      <w:proofErr w:type="spellEnd"/>
      <w:proofErr w:type="gramEnd"/>
      <w:r w:rsidRPr="00F06923">
        <w:rPr>
          <w:rFonts w:ascii="Times New Roman" w:hAnsi="Times New Roman"/>
          <w:sz w:val="20"/>
          <w:szCs w:val="20"/>
        </w:rPr>
        <w:t>. National Association of State Directors of Special Education</w:t>
      </w:r>
    </w:p>
    <w:p w:rsidR="001F5994" w:rsidRPr="00F06923" w:rsidRDefault="001F5994" w:rsidP="001F599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 xml:space="preserve">Thompson, S. J., </w:t>
      </w:r>
      <w:proofErr w:type="spellStart"/>
      <w:r w:rsidRPr="00F06923">
        <w:rPr>
          <w:rFonts w:ascii="Times New Roman" w:hAnsi="Times New Roman"/>
          <w:sz w:val="20"/>
          <w:szCs w:val="20"/>
        </w:rPr>
        <w:t>Thurlow</w:t>
      </w:r>
      <w:proofErr w:type="spellEnd"/>
      <w:r w:rsidRPr="00F06923">
        <w:rPr>
          <w:rFonts w:ascii="Times New Roman" w:hAnsi="Times New Roman"/>
          <w:sz w:val="20"/>
          <w:szCs w:val="20"/>
        </w:rPr>
        <w:t xml:space="preserve">, M. L., </w:t>
      </w:r>
      <w:proofErr w:type="spellStart"/>
      <w:r w:rsidRPr="00F06923">
        <w:rPr>
          <w:rFonts w:ascii="Times New Roman" w:hAnsi="Times New Roman"/>
          <w:sz w:val="20"/>
          <w:szCs w:val="20"/>
        </w:rPr>
        <w:t>Qunemoen</w:t>
      </w:r>
      <w:proofErr w:type="spellEnd"/>
      <w:r w:rsidRPr="00F06923">
        <w:rPr>
          <w:rFonts w:ascii="Times New Roman" w:hAnsi="Times New Roman"/>
          <w:sz w:val="20"/>
          <w:szCs w:val="20"/>
        </w:rPr>
        <w:t xml:space="preserve">, R. F., </w:t>
      </w:r>
      <w:proofErr w:type="spellStart"/>
      <w:r w:rsidRPr="00F06923">
        <w:rPr>
          <w:rFonts w:ascii="Times New Roman" w:hAnsi="Times New Roman"/>
          <w:sz w:val="20"/>
          <w:szCs w:val="20"/>
        </w:rPr>
        <w:t>Esler</w:t>
      </w:r>
      <w:proofErr w:type="spellEnd"/>
      <w:r w:rsidRPr="00F06923">
        <w:rPr>
          <w:rFonts w:ascii="Times New Roman" w:hAnsi="Times New Roman"/>
          <w:sz w:val="20"/>
          <w:szCs w:val="20"/>
        </w:rPr>
        <w:t>, A., &amp; Whetstone, P. (2001).</w:t>
      </w:r>
      <w:proofErr w:type="gramEnd"/>
      <w:r w:rsidRPr="00F06923">
        <w:rPr>
          <w:rFonts w:ascii="Times New Roman" w:hAnsi="Times New Roman"/>
          <w:sz w:val="20"/>
          <w:szCs w:val="20"/>
        </w:rPr>
        <w:t xml:space="preserve"> </w:t>
      </w:r>
      <w:r w:rsidRPr="00F06923">
        <w:rPr>
          <w:rFonts w:ascii="Times New Roman" w:hAnsi="Times New Roman"/>
          <w:sz w:val="20"/>
          <w:szCs w:val="20"/>
        </w:rPr>
        <w:tab/>
      </w:r>
      <w:proofErr w:type="gramStart"/>
      <w:r w:rsidRPr="00F06923">
        <w:rPr>
          <w:rFonts w:ascii="Times New Roman" w:hAnsi="Times New Roman"/>
          <w:sz w:val="20"/>
          <w:szCs w:val="20"/>
        </w:rPr>
        <w:t>Addressing standards and assessments on state IEP forms (Synthesis Report 38).</w:t>
      </w:r>
      <w:proofErr w:type="gramEnd"/>
      <w:r w:rsidRPr="00F06923">
        <w:rPr>
          <w:rFonts w:ascii="Times New Roman" w:hAnsi="Times New Roman"/>
          <w:sz w:val="20"/>
          <w:szCs w:val="20"/>
        </w:rPr>
        <w:t xml:space="preserve"> </w:t>
      </w:r>
      <w:r w:rsidRPr="00F06923">
        <w:rPr>
          <w:rFonts w:ascii="Times New Roman" w:hAnsi="Times New Roman"/>
          <w:sz w:val="20"/>
          <w:szCs w:val="20"/>
        </w:rPr>
        <w:tab/>
        <w:t>M</w:t>
      </w:r>
      <w:r>
        <w:rPr>
          <w:rFonts w:ascii="Times New Roman" w:hAnsi="Times New Roman"/>
          <w:sz w:val="20"/>
          <w:szCs w:val="20"/>
        </w:rPr>
        <w:t xml:space="preserve">inneapolis, MN: </w:t>
      </w:r>
      <w:proofErr w:type="spellStart"/>
      <w:r>
        <w:rPr>
          <w:rFonts w:ascii="Times New Roman" w:hAnsi="Times New Roman"/>
          <w:sz w:val="20"/>
          <w:szCs w:val="20"/>
        </w:rPr>
        <w:t>S</w:t>
      </w:r>
      <w:r w:rsidRPr="00F06923">
        <w:rPr>
          <w:rFonts w:ascii="Times New Roman" w:hAnsi="Times New Roman"/>
          <w:sz w:val="20"/>
          <w:szCs w:val="20"/>
        </w:rPr>
        <w:t>University</w:t>
      </w:r>
      <w:proofErr w:type="spellEnd"/>
      <w:r w:rsidRPr="00F06923">
        <w:rPr>
          <w:rFonts w:ascii="Times New Roman" w:hAnsi="Times New Roman"/>
          <w:sz w:val="20"/>
          <w:szCs w:val="20"/>
        </w:rPr>
        <w:t xml:space="preserve"> of Minnesota, National Center on Educational Outcomes.</w:t>
      </w:r>
    </w:p>
    <w:p w:rsidR="001F5994" w:rsidRPr="00F06923" w:rsidRDefault="001F5994" w:rsidP="001F599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U.S Department of Education.</w:t>
      </w:r>
      <w:proofErr w:type="gramEnd"/>
      <w:r w:rsidRPr="00F06923">
        <w:rPr>
          <w:rFonts w:ascii="Times New Roman" w:hAnsi="Times New Roman"/>
          <w:sz w:val="20"/>
          <w:szCs w:val="20"/>
        </w:rPr>
        <w:t xml:space="preserve"> (2008). Validity evidence for </w:t>
      </w:r>
      <w:r>
        <w:rPr>
          <w:rFonts w:ascii="Times New Roman" w:hAnsi="Times New Roman"/>
          <w:sz w:val="20"/>
          <w:szCs w:val="20"/>
        </w:rPr>
        <w:t xml:space="preserve">alternate assessments based on </w:t>
      </w:r>
      <w:r w:rsidRPr="00F06923">
        <w:rPr>
          <w:rFonts w:ascii="Times New Roman" w:hAnsi="Times New Roman"/>
          <w:sz w:val="20"/>
          <w:szCs w:val="20"/>
        </w:rPr>
        <w:t xml:space="preserve">modified achievement standards. </w:t>
      </w:r>
      <w:proofErr w:type="gramStart"/>
      <w:r w:rsidRPr="00F06923">
        <w:rPr>
          <w:rFonts w:ascii="Times New Roman" w:hAnsi="Times New Roman"/>
          <w:sz w:val="20"/>
          <w:szCs w:val="20"/>
        </w:rPr>
        <w:t>National Technical</w:t>
      </w:r>
      <w:r>
        <w:rPr>
          <w:rFonts w:ascii="Times New Roman" w:hAnsi="Times New Roman"/>
          <w:sz w:val="20"/>
          <w:szCs w:val="20"/>
        </w:rPr>
        <w:t xml:space="preserve"> Advisory Council.</w:t>
      </w:r>
      <w:proofErr w:type="gramEnd"/>
      <w:r>
        <w:rPr>
          <w:rFonts w:ascii="Times New Roman" w:hAnsi="Times New Roman"/>
          <w:sz w:val="20"/>
          <w:szCs w:val="20"/>
        </w:rPr>
        <w:t xml:space="preserve"> Washington, </w:t>
      </w:r>
      <w:r w:rsidRPr="00F06923">
        <w:rPr>
          <w:rFonts w:ascii="Times New Roman" w:hAnsi="Times New Roman"/>
          <w:sz w:val="20"/>
          <w:szCs w:val="20"/>
        </w:rPr>
        <w:t>D.C: Government Printing Office.</w:t>
      </w:r>
    </w:p>
    <w:p w:rsidR="001F5994" w:rsidRPr="00F06923" w:rsidRDefault="001F5994" w:rsidP="001F599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United States Department of Education (2009).</w:t>
      </w:r>
      <w:proofErr w:type="gramEnd"/>
      <w:r w:rsidRPr="00F06923">
        <w:rPr>
          <w:rFonts w:ascii="Times New Roman" w:hAnsi="Times New Roman"/>
          <w:sz w:val="20"/>
          <w:szCs w:val="20"/>
        </w:rPr>
        <w:t xml:space="preserve"> Office of Special Education Programs: Data tables for OSEP state reported data. Washington, DC: Author.</w:t>
      </w:r>
    </w:p>
    <w:p w:rsidR="001F5994" w:rsidRPr="00F06923" w:rsidRDefault="001F5994" w:rsidP="001F5994">
      <w:pPr>
        <w:spacing w:after="0" w:line="240" w:lineRule="auto"/>
        <w:contextualSpacing/>
        <w:rPr>
          <w:rFonts w:ascii="Times New Roman" w:hAnsi="Times New Roman"/>
          <w:sz w:val="20"/>
          <w:szCs w:val="20"/>
        </w:rPr>
      </w:pPr>
      <w:proofErr w:type="gramStart"/>
      <w:r w:rsidRPr="00F06923">
        <w:rPr>
          <w:rFonts w:ascii="Times New Roman" w:hAnsi="Times New Roman"/>
          <w:sz w:val="20"/>
          <w:szCs w:val="20"/>
        </w:rPr>
        <w:t>United States Department of Education (2010).</w:t>
      </w:r>
      <w:proofErr w:type="gramEnd"/>
      <w:r w:rsidRPr="00F06923">
        <w:rPr>
          <w:rFonts w:ascii="Times New Roman" w:hAnsi="Times New Roman"/>
          <w:sz w:val="20"/>
          <w:szCs w:val="20"/>
        </w:rPr>
        <w:t xml:space="preserve"> Office of Special Education Programs: Data tables for OSEP state reported data. Washington, DC: Author.</w:t>
      </w:r>
    </w:p>
    <w:p w:rsidR="00632D65" w:rsidRDefault="001F5994" w:rsidP="00632D65">
      <w:pPr>
        <w:spacing w:after="0" w:line="240" w:lineRule="auto"/>
        <w:contextualSpacing/>
        <w:rPr>
          <w:rFonts w:ascii="Times New Roman" w:hAnsi="Times New Roman"/>
          <w:i/>
          <w:sz w:val="20"/>
          <w:szCs w:val="20"/>
        </w:rPr>
      </w:pPr>
      <w:proofErr w:type="spellStart"/>
      <w:proofErr w:type="gramStart"/>
      <w:r w:rsidRPr="00F06923">
        <w:rPr>
          <w:rFonts w:ascii="Times New Roman" w:hAnsi="Times New Roman"/>
          <w:sz w:val="20"/>
          <w:szCs w:val="20"/>
        </w:rPr>
        <w:t>Wehmeyer</w:t>
      </w:r>
      <w:proofErr w:type="spellEnd"/>
      <w:r w:rsidRPr="00F06923">
        <w:rPr>
          <w:rFonts w:ascii="Times New Roman" w:hAnsi="Times New Roman"/>
          <w:sz w:val="20"/>
          <w:szCs w:val="20"/>
        </w:rPr>
        <w:t xml:space="preserve">, M. L., </w:t>
      </w:r>
      <w:proofErr w:type="spellStart"/>
      <w:r w:rsidRPr="00F06923">
        <w:rPr>
          <w:rFonts w:ascii="Times New Roman" w:hAnsi="Times New Roman"/>
          <w:sz w:val="20"/>
          <w:szCs w:val="20"/>
        </w:rPr>
        <w:t>Lattin</w:t>
      </w:r>
      <w:proofErr w:type="spellEnd"/>
      <w:r w:rsidRPr="00F06923">
        <w:rPr>
          <w:rFonts w:ascii="Times New Roman" w:hAnsi="Times New Roman"/>
          <w:sz w:val="20"/>
          <w:szCs w:val="20"/>
        </w:rPr>
        <w:t xml:space="preserve">, D., &amp; </w:t>
      </w:r>
      <w:proofErr w:type="spellStart"/>
      <w:r w:rsidRPr="00F06923">
        <w:rPr>
          <w:rFonts w:ascii="Times New Roman" w:hAnsi="Times New Roman"/>
          <w:sz w:val="20"/>
          <w:szCs w:val="20"/>
        </w:rPr>
        <w:t>Agran</w:t>
      </w:r>
      <w:proofErr w:type="spellEnd"/>
      <w:r w:rsidRPr="00F06923">
        <w:rPr>
          <w:rFonts w:ascii="Times New Roman" w:hAnsi="Times New Roman"/>
          <w:sz w:val="20"/>
          <w:szCs w:val="20"/>
        </w:rPr>
        <w:t>, M. (2001).</w:t>
      </w:r>
      <w:proofErr w:type="gramEnd"/>
      <w:r w:rsidRPr="00F06923">
        <w:rPr>
          <w:rFonts w:ascii="Times New Roman" w:hAnsi="Times New Roman"/>
          <w:sz w:val="20"/>
          <w:szCs w:val="20"/>
        </w:rPr>
        <w:t xml:space="preserve"> </w:t>
      </w:r>
      <w:proofErr w:type="gramStart"/>
      <w:r w:rsidRPr="00F06923">
        <w:rPr>
          <w:rFonts w:ascii="Times New Roman" w:hAnsi="Times New Roman"/>
          <w:sz w:val="20"/>
          <w:szCs w:val="20"/>
        </w:rPr>
        <w:t>Achieving ac</w:t>
      </w:r>
      <w:r>
        <w:rPr>
          <w:rFonts w:ascii="Times New Roman" w:hAnsi="Times New Roman"/>
          <w:sz w:val="20"/>
          <w:szCs w:val="20"/>
        </w:rPr>
        <w:t xml:space="preserve">cess to the general curriculum </w:t>
      </w:r>
      <w:r w:rsidRPr="00F06923">
        <w:rPr>
          <w:rFonts w:ascii="Times New Roman" w:hAnsi="Times New Roman"/>
          <w:sz w:val="20"/>
          <w:szCs w:val="20"/>
        </w:rPr>
        <w:t>for students with mental retardation: a curriculum decision making model.</w:t>
      </w:r>
      <w:proofErr w:type="gramEnd"/>
      <w:r w:rsidRPr="00F06923">
        <w:rPr>
          <w:rFonts w:ascii="Times New Roman" w:hAnsi="Times New Roman"/>
          <w:sz w:val="20"/>
          <w:szCs w:val="20"/>
        </w:rPr>
        <w:t xml:space="preserve"> </w:t>
      </w:r>
      <w:r w:rsidRPr="00F06923">
        <w:rPr>
          <w:rFonts w:ascii="Times New Roman" w:hAnsi="Times New Roman"/>
          <w:i/>
          <w:sz w:val="20"/>
          <w:szCs w:val="20"/>
        </w:rPr>
        <w:t xml:space="preserve">Education and </w:t>
      </w:r>
      <w:r w:rsidRPr="00F06923">
        <w:rPr>
          <w:rFonts w:ascii="Times New Roman" w:hAnsi="Times New Roman"/>
          <w:i/>
          <w:sz w:val="20"/>
          <w:szCs w:val="20"/>
        </w:rPr>
        <w:tab/>
        <w:t>Training in Mental Retardation and Developmental Disabilities, 36 (4), 327-342.</w:t>
      </w:r>
    </w:p>
    <w:p w:rsidR="00632D65" w:rsidRDefault="00632D65" w:rsidP="00632D65">
      <w:pPr>
        <w:spacing w:after="0" w:line="240" w:lineRule="auto"/>
        <w:contextualSpacing/>
        <w:rPr>
          <w:rFonts w:ascii="Times New Roman" w:hAnsi="Times New Roman"/>
          <w:i/>
          <w:sz w:val="20"/>
          <w:szCs w:val="20"/>
        </w:rPr>
      </w:pPr>
    </w:p>
    <w:p w:rsidR="00632D65" w:rsidRPr="00632D65" w:rsidRDefault="00632D65" w:rsidP="00632D65">
      <w:pPr>
        <w:spacing w:after="0" w:line="240" w:lineRule="auto"/>
        <w:contextualSpacing/>
        <w:jc w:val="center"/>
        <w:rPr>
          <w:rFonts w:ascii="Times New Roman" w:hAnsi="Times New Roman"/>
          <w:b/>
          <w:sz w:val="20"/>
          <w:szCs w:val="20"/>
        </w:rPr>
      </w:pPr>
      <w:r>
        <w:rPr>
          <w:rFonts w:ascii="Times New Roman" w:hAnsi="Times New Roman"/>
          <w:b/>
          <w:sz w:val="20"/>
          <w:szCs w:val="20"/>
        </w:rPr>
        <w:t>Appendix</w:t>
      </w:r>
    </w:p>
    <w:p w:rsidR="00F06923" w:rsidRDefault="00632D65" w:rsidP="001F5994">
      <w:pPr>
        <w:spacing w:after="0" w:line="240" w:lineRule="auto"/>
        <w:contextualSpacing/>
        <w:rPr>
          <w:rFonts w:ascii="Times New Roman" w:hAnsi="Times New Roman"/>
          <w:i/>
          <w:sz w:val="20"/>
          <w:szCs w:val="20"/>
        </w:rPr>
      </w:pPr>
      <w:r>
        <w:rPr>
          <w:rFonts w:ascii="Times New Roman" w:hAnsi="Times New Roman"/>
          <w:i/>
          <w:noProof/>
          <w:sz w:val="20"/>
          <w:szCs w:val="20"/>
        </w:rPr>
        <w:drawing>
          <wp:inline distT="0" distB="0" distL="0" distR="0">
            <wp:extent cx="5366385" cy="3133725"/>
            <wp:effectExtent l="19050" t="0" r="5715" b="0"/>
            <wp:docPr id="3" name="Picture 2" descr="append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1.jpg"/>
                    <pic:cNvPicPr/>
                  </pic:nvPicPr>
                  <pic:blipFill>
                    <a:blip r:embed="rId11" cstate="print"/>
                    <a:stretch>
                      <a:fillRect/>
                    </a:stretch>
                  </pic:blipFill>
                  <pic:spPr>
                    <a:xfrm>
                      <a:off x="0" y="0"/>
                      <a:ext cx="5366385" cy="3133725"/>
                    </a:xfrm>
                    <a:prstGeom prst="rect">
                      <a:avLst/>
                    </a:prstGeom>
                  </pic:spPr>
                </pic:pic>
              </a:graphicData>
            </a:graphic>
          </wp:inline>
        </w:drawing>
      </w:r>
    </w:p>
    <w:p w:rsidR="00632D65" w:rsidRDefault="004A2907" w:rsidP="001F5994">
      <w:pPr>
        <w:spacing w:after="0" w:line="240" w:lineRule="auto"/>
        <w:contextualSpacing/>
        <w:rPr>
          <w:rFonts w:ascii="Times New Roman" w:hAnsi="Times New Roman"/>
          <w:i/>
          <w:sz w:val="20"/>
          <w:szCs w:val="20"/>
        </w:rPr>
      </w:pPr>
      <w:r>
        <w:rPr>
          <w:rFonts w:ascii="Times New Roman" w:hAnsi="Times New Roman"/>
          <w:i/>
          <w:noProof/>
          <w:sz w:val="20"/>
          <w:szCs w:val="20"/>
        </w:rPr>
        <w:lastRenderedPageBreak/>
        <w:drawing>
          <wp:inline distT="0" distB="0" distL="0" distR="0">
            <wp:extent cx="5366385" cy="3247390"/>
            <wp:effectExtent l="19050" t="0" r="5715" b="0"/>
            <wp:docPr id="8" name="Picture 7" descr="append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2.jpg"/>
                    <pic:cNvPicPr/>
                  </pic:nvPicPr>
                  <pic:blipFill>
                    <a:blip r:embed="rId12" cstate="print"/>
                    <a:stretch>
                      <a:fillRect/>
                    </a:stretch>
                  </pic:blipFill>
                  <pic:spPr>
                    <a:xfrm>
                      <a:off x="0" y="0"/>
                      <a:ext cx="5366385" cy="3247390"/>
                    </a:xfrm>
                    <a:prstGeom prst="rect">
                      <a:avLst/>
                    </a:prstGeom>
                  </pic:spPr>
                </pic:pic>
              </a:graphicData>
            </a:graphic>
          </wp:inline>
        </w:drawing>
      </w:r>
    </w:p>
    <w:p w:rsidR="00632D65" w:rsidRPr="001F5994" w:rsidRDefault="004A2907" w:rsidP="001F5994">
      <w:pPr>
        <w:spacing w:after="0" w:line="240" w:lineRule="auto"/>
        <w:contextualSpacing/>
        <w:rPr>
          <w:rFonts w:ascii="Times New Roman" w:hAnsi="Times New Roman"/>
          <w:i/>
          <w:sz w:val="20"/>
          <w:szCs w:val="20"/>
        </w:rPr>
      </w:pPr>
      <w:r>
        <w:rPr>
          <w:rFonts w:ascii="Times New Roman" w:hAnsi="Times New Roman"/>
          <w:i/>
          <w:noProof/>
          <w:sz w:val="20"/>
          <w:szCs w:val="20"/>
        </w:rPr>
        <w:drawing>
          <wp:inline distT="0" distB="0" distL="0" distR="0">
            <wp:extent cx="5366385" cy="1722755"/>
            <wp:effectExtent l="19050" t="0" r="5715" b="0"/>
            <wp:docPr id="9" name="Picture 8" descr="appendi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3.jpg"/>
                    <pic:cNvPicPr/>
                  </pic:nvPicPr>
                  <pic:blipFill>
                    <a:blip r:embed="rId13" cstate="print"/>
                    <a:stretch>
                      <a:fillRect/>
                    </a:stretch>
                  </pic:blipFill>
                  <pic:spPr>
                    <a:xfrm>
                      <a:off x="0" y="0"/>
                      <a:ext cx="5366385" cy="1722755"/>
                    </a:xfrm>
                    <a:prstGeom prst="rect">
                      <a:avLst/>
                    </a:prstGeom>
                  </pic:spPr>
                </pic:pic>
              </a:graphicData>
            </a:graphic>
          </wp:inline>
        </w:drawing>
      </w:r>
    </w:p>
    <w:sectPr w:rsidR="00632D65" w:rsidRPr="001F5994" w:rsidSect="00E16B14">
      <w:headerReference w:type="default" r:id="rId14"/>
      <w:footerReference w:type="default" r:id="rId15"/>
      <w:headerReference w:type="first" r:id="rId16"/>
      <w:footerReference w:type="first" r:id="rId17"/>
      <w:pgSz w:w="11907" w:h="16839" w:code="9"/>
      <w:pgMar w:top="1440" w:right="1728" w:bottom="1699"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F0" w:rsidRDefault="00156CF0" w:rsidP="000726D2">
      <w:pPr>
        <w:spacing w:after="0" w:line="240" w:lineRule="auto"/>
      </w:pPr>
      <w:r>
        <w:separator/>
      </w:r>
    </w:p>
  </w:endnote>
  <w:endnote w:type="continuationSeparator" w:id="0">
    <w:p w:rsidR="00156CF0" w:rsidRDefault="00156CF0" w:rsidP="0007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TFFFFF900C00CFF50t00">
    <w:altName w:val="TTFFFF F 90 0 C 00 CF F 5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028187"/>
      <w:docPartObj>
        <w:docPartGallery w:val="Page Numbers (Bottom of Page)"/>
        <w:docPartUnique/>
      </w:docPartObj>
    </w:sdtPr>
    <w:sdtContent>
      <w:p w:rsidR="00E16B14" w:rsidRDefault="00E16B14">
        <w:pPr>
          <w:pStyle w:val="Footer"/>
          <w:jc w:val="right"/>
        </w:pPr>
        <w:r w:rsidRPr="00E16B14">
          <w:rPr>
            <w:rFonts w:ascii="Times New Roman" w:hAnsi="Times New Roman"/>
            <w:sz w:val="20"/>
            <w:szCs w:val="20"/>
          </w:rPr>
          <w:fldChar w:fldCharType="begin"/>
        </w:r>
        <w:r w:rsidRPr="00E16B14">
          <w:rPr>
            <w:rFonts w:ascii="Times New Roman" w:hAnsi="Times New Roman"/>
            <w:sz w:val="20"/>
            <w:szCs w:val="20"/>
          </w:rPr>
          <w:instrText xml:space="preserve"> PAGE   \* MERGEFORMAT </w:instrText>
        </w:r>
        <w:r w:rsidRPr="00E16B14">
          <w:rPr>
            <w:rFonts w:ascii="Times New Roman" w:hAnsi="Times New Roman"/>
            <w:sz w:val="20"/>
            <w:szCs w:val="20"/>
          </w:rPr>
          <w:fldChar w:fldCharType="separate"/>
        </w:r>
        <w:r w:rsidR="00760DE8">
          <w:rPr>
            <w:rFonts w:ascii="Times New Roman" w:hAnsi="Times New Roman"/>
            <w:noProof/>
            <w:sz w:val="20"/>
            <w:szCs w:val="20"/>
          </w:rPr>
          <w:t>10</w:t>
        </w:r>
        <w:r w:rsidRPr="00E16B14">
          <w:rPr>
            <w:rFonts w:ascii="Times New Roman" w:hAnsi="Times New Roman"/>
            <w:sz w:val="20"/>
            <w:szCs w:val="20"/>
          </w:rPr>
          <w:fldChar w:fldCharType="end"/>
        </w:r>
      </w:p>
    </w:sdtContent>
  </w:sdt>
  <w:p w:rsidR="00E16B14" w:rsidRDefault="00E16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028185"/>
      <w:docPartObj>
        <w:docPartGallery w:val="Page Numbers (Bottom of Page)"/>
        <w:docPartUnique/>
      </w:docPartObj>
    </w:sdtPr>
    <w:sdtContent>
      <w:p w:rsidR="00F06923" w:rsidRDefault="00F06923">
        <w:pPr>
          <w:pStyle w:val="Footer"/>
          <w:jc w:val="right"/>
        </w:pPr>
        <w:r w:rsidRPr="00F06923">
          <w:rPr>
            <w:rFonts w:ascii="Times New Roman" w:hAnsi="Times New Roman"/>
            <w:sz w:val="20"/>
            <w:szCs w:val="20"/>
          </w:rPr>
          <w:fldChar w:fldCharType="begin"/>
        </w:r>
        <w:r w:rsidRPr="00F06923">
          <w:rPr>
            <w:rFonts w:ascii="Times New Roman" w:hAnsi="Times New Roman"/>
            <w:sz w:val="20"/>
            <w:szCs w:val="20"/>
          </w:rPr>
          <w:instrText xml:space="preserve"> PAGE   \* MERGEFORMAT </w:instrText>
        </w:r>
        <w:r w:rsidRPr="00F06923">
          <w:rPr>
            <w:rFonts w:ascii="Times New Roman" w:hAnsi="Times New Roman"/>
            <w:sz w:val="20"/>
            <w:szCs w:val="20"/>
          </w:rPr>
          <w:fldChar w:fldCharType="separate"/>
        </w:r>
        <w:r w:rsidR="00E16B14">
          <w:rPr>
            <w:rFonts w:ascii="Times New Roman" w:hAnsi="Times New Roman"/>
            <w:noProof/>
            <w:sz w:val="20"/>
            <w:szCs w:val="20"/>
          </w:rPr>
          <w:t>1</w:t>
        </w:r>
        <w:r w:rsidRPr="00F06923">
          <w:rPr>
            <w:rFonts w:ascii="Times New Roman" w:hAnsi="Times New Roman"/>
            <w:sz w:val="20"/>
            <w:szCs w:val="20"/>
          </w:rPr>
          <w:fldChar w:fldCharType="end"/>
        </w:r>
      </w:p>
    </w:sdtContent>
  </w:sdt>
  <w:p w:rsidR="00F06923" w:rsidRDefault="00F06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F0" w:rsidRDefault="00156CF0" w:rsidP="000726D2">
      <w:pPr>
        <w:spacing w:after="0" w:line="240" w:lineRule="auto"/>
      </w:pPr>
      <w:r>
        <w:separator/>
      </w:r>
    </w:p>
  </w:footnote>
  <w:footnote w:type="continuationSeparator" w:id="0">
    <w:p w:rsidR="00156CF0" w:rsidRDefault="00156CF0" w:rsidP="00072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B14" w:rsidRPr="00C71B59" w:rsidRDefault="00E16B14">
    <w:pPr>
      <w:pStyle w:val="Header"/>
      <w:rPr>
        <w:rFonts w:ascii="Times New Roman" w:hAnsi="Times New Roman"/>
        <w:sz w:val="20"/>
        <w:szCs w:val="20"/>
        <w:lang w:val="en-US"/>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1,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3" w:rsidRPr="00F06923" w:rsidRDefault="00F06923">
    <w:pPr>
      <w:pStyle w:val="Header"/>
      <w:rPr>
        <w:rFonts w:ascii="Times New Roman" w:hAnsi="Times New Roman"/>
        <w:sz w:val="20"/>
        <w:szCs w:val="20"/>
        <w:lang w:val="en-US"/>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1,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D44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231E6"/>
    <w:multiLevelType w:val="hybridMultilevel"/>
    <w:tmpl w:val="4EF69654"/>
    <w:lvl w:ilvl="0" w:tplc="3BA6DC9E">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3583B"/>
    <w:multiLevelType w:val="hybridMultilevel"/>
    <w:tmpl w:val="B6403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D6BE1"/>
    <w:multiLevelType w:val="hybridMultilevel"/>
    <w:tmpl w:val="E1C27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CE51F7"/>
    <w:rsid w:val="00011D8C"/>
    <w:rsid w:val="00015A32"/>
    <w:rsid w:val="00021FE3"/>
    <w:rsid w:val="00030121"/>
    <w:rsid w:val="000302FF"/>
    <w:rsid w:val="000357C0"/>
    <w:rsid w:val="000405E8"/>
    <w:rsid w:val="0004144C"/>
    <w:rsid w:val="00052DFB"/>
    <w:rsid w:val="00063D35"/>
    <w:rsid w:val="000726D2"/>
    <w:rsid w:val="0007649E"/>
    <w:rsid w:val="0008429B"/>
    <w:rsid w:val="000844AD"/>
    <w:rsid w:val="00087169"/>
    <w:rsid w:val="0009027F"/>
    <w:rsid w:val="00093612"/>
    <w:rsid w:val="000937DE"/>
    <w:rsid w:val="000967B5"/>
    <w:rsid w:val="000A3B14"/>
    <w:rsid w:val="000B542E"/>
    <w:rsid w:val="000D7965"/>
    <w:rsid w:val="000E06D7"/>
    <w:rsid w:val="000E1278"/>
    <w:rsid w:val="000E5326"/>
    <w:rsid w:val="000E5EA8"/>
    <w:rsid w:val="000F01A9"/>
    <w:rsid w:val="000F4B09"/>
    <w:rsid w:val="00101C38"/>
    <w:rsid w:val="001105C8"/>
    <w:rsid w:val="00122374"/>
    <w:rsid w:val="00123AF6"/>
    <w:rsid w:val="001309D1"/>
    <w:rsid w:val="001352CA"/>
    <w:rsid w:val="0015486A"/>
    <w:rsid w:val="00155510"/>
    <w:rsid w:val="00156CF0"/>
    <w:rsid w:val="00175903"/>
    <w:rsid w:val="0017717A"/>
    <w:rsid w:val="00181D9D"/>
    <w:rsid w:val="00186708"/>
    <w:rsid w:val="0019439D"/>
    <w:rsid w:val="001A6AAF"/>
    <w:rsid w:val="001B5EDD"/>
    <w:rsid w:val="001C38C3"/>
    <w:rsid w:val="001C4876"/>
    <w:rsid w:val="001C6249"/>
    <w:rsid w:val="001C6841"/>
    <w:rsid w:val="001C6B53"/>
    <w:rsid w:val="001D3A41"/>
    <w:rsid w:val="001D3F42"/>
    <w:rsid w:val="001D56CB"/>
    <w:rsid w:val="001E3839"/>
    <w:rsid w:val="001E4991"/>
    <w:rsid w:val="001E5520"/>
    <w:rsid w:val="001E7772"/>
    <w:rsid w:val="001F5994"/>
    <w:rsid w:val="00204420"/>
    <w:rsid w:val="00224D20"/>
    <w:rsid w:val="002270B7"/>
    <w:rsid w:val="00230D2E"/>
    <w:rsid w:val="00232920"/>
    <w:rsid w:val="0023320A"/>
    <w:rsid w:val="002510D2"/>
    <w:rsid w:val="0025250C"/>
    <w:rsid w:val="00254DCC"/>
    <w:rsid w:val="00260202"/>
    <w:rsid w:val="00270BF0"/>
    <w:rsid w:val="002740E1"/>
    <w:rsid w:val="002742B5"/>
    <w:rsid w:val="00282EDC"/>
    <w:rsid w:val="0028614E"/>
    <w:rsid w:val="00290345"/>
    <w:rsid w:val="0029166F"/>
    <w:rsid w:val="00292694"/>
    <w:rsid w:val="002A04A3"/>
    <w:rsid w:val="002A08A7"/>
    <w:rsid w:val="002A0EC0"/>
    <w:rsid w:val="002B000E"/>
    <w:rsid w:val="002B2D9A"/>
    <w:rsid w:val="002B2EDA"/>
    <w:rsid w:val="002C3249"/>
    <w:rsid w:val="002C470C"/>
    <w:rsid w:val="002C6948"/>
    <w:rsid w:val="002D5B25"/>
    <w:rsid w:val="00302E4E"/>
    <w:rsid w:val="00313A64"/>
    <w:rsid w:val="00324BB1"/>
    <w:rsid w:val="00330CFF"/>
    <w:rsid w:val="00333562"/>
    <w:rsid w:val="00340BB7"/>
    <w:rsid w:val="00342892"/>
    <w:rsid w:val="00350C12"/>
    <w:rsid w:val="00353CB3"/>
    <w:rsid w:val="00355797"/>
    <w:rsid w:val="00356AA0"/>
    <w:rsid w:val="0036453E"/>
    <w:rsid w:val="00370D19"/>
    <w:rsid w:val="00371432"/>
    <w:rsid w:val="00372242"/>
    <w:rsid w:val="003804A6"/>
    <w:rsid w:val="00382665"/>
    <w:rsid w:val="00383057"/>
    <w:rsid w:val="00394C35"/>
    <w:rsid w:val="003964C6"/>
    <w:rsid w:val="003A3092"/>
    <w:rsid w:val="003A72D7"/>
    <w:rsid w:val="003C057E"/>
    <w:rsid w:val="003C1194"/>
    <w:rsid w:val="003C4260"/>
    <w:rsid w:val="003C5203"/>
    <w:rsid w:val="003C59A3"/>
    <w:rsid w:val="003F0F15"/>
    <w:rsid w:val="003F404D"/>
    <w:rsid w:val="003F713F"/>
    <w:rsid w:val="00401330"/>
    <w:rsid w:val="004037B4"/>
    <w:rsid w:val="00420BEE"/>
    <w:rsid w:val="00426C96"/>
    <w:rsid w:val="00430394"/>
    <w:rsid w:val="00437045"/>
    <w:rsid w:val="00441D4A"/>
    <w:rsid w:val="004618EA"/>
    <w:rsid w:val="0046735F"/>
    <w:rsid w:val="00472591"/>
    <w:rsid w:val="0047296C"/>
    <w:rsid w:val="00474791"/>
    <w:rsid w:val="00475A82"/>
    <w:rsid w:val="00477399"/>
    <w:rsid w:val="00480C05"/>
    <w:rsid w:val="00485EBB"/>
    <w:rsid w:val="0049545B"/>
    <w:rsid w:val="00496A03"/>
    <w:rsid w:val="004A11AF"/>
    <w:rsid w:val="004A1AE1"/>
    <w:rsid w:val="004A2907"/>
    <w:rsid w:val="004A4C7A"/>
    <w:rsid w:val="004A65A7"/>
    <w:rsid w:val="004A75BC"/>
    <w:rsid w:val="004C31A2"/>
    <w:rsid w:val="004D5333"/>
    <w:rsid w:val="004E1D8B"/>
    <w:rsid w:val="004F4C80"/>
    <w:rsid w:val="004F4D04"/>
    <w:rsid w:val="00500837"/>
    <w:rsid w:val="00511D7D"/>
    <w:rsid w:val="005437EE"/>
    <w:rsid w:val="005515C8"/>
    <w:rsid w:val="00555889"/>
    <w:rsid w:val="00560D65"/>
    <w:rsid w:val="00562CBC"/>
    <w:rsid w:val="00565CB5"/>
    <w:rsid w:val="00580C73"/>
    <w:rsid w:val="00587242"/>
    <w:rsid w:val="00591809"/>
    <w:rsid w:val="005928E7"/>
    <w:rsid w:val="00593993"/>
    <w:rsid w:val="00595765"/>
    <w:rsid w:val="005A0C97"/>
    <w:rsid w:val="005A34C1"/>
    <w:rsid w:val="005C1B06"/>
    <w:rsid w:val="005C438B"/>
    <w:rsid w:val="005C7EDB"/>
    <w:rsid w:val="005D3F35"/>
    <w:rsid w:val="005E0B48"/>
    <w:rsid w:val="006012B6"/>
    <w:rsid w:val="00610CC6"/>
    <w:rsid w:val="00613BE4"/>
    <w:rsid w:val="00615D34"/>
    <w:rsid w:val="00632D65"/>
    <w:rsid w:val="006416FE"/>
    <w:rsid w:val="00651037"/>
    <w:rsid w:val="0065508D"/>
    <w:rsid w:val="00655443"/>
    <w:rsid w:val="006614F6"/>
    <w:rsid w:val="00677FA3"/>
    <w:rsid w:val="006806BC"/>
    <w:rsid w:val="006833E8"/>
    <w:rsid w:val="006939EE"/>
    <w:rsid w:val="006956A2"/>
    <w:rsid w:val="006A11A7"/>
    <w:rsid w:val="006A6D41"/>
    <w:rsid w:val="006B644A"/>
    <w:rsid w:val="006D692C"/>
    <w:rsid w:val="006D75BE"/>
    <w:rsid w:val="006E0A65"/>
    <w:rsid w:val="006E0EDA"/>
    <w:rsid w:val="006E1BF6"/>
    <w:rsid w:val="006E6C90"/>
    <w:rsid w:val="006F1E04"/>
    <w:rsid w:val="006F74FE"/>
    <w:rsid w:val="00711FF6"/>
    <w:rsid w:val="0072338E"/>
    <w:rsid w:val="00736969"/>
    <w:rsid w:val="0073719E"/>
    <w:rsid w:val="007434D2"/>
    <w:rsid w:val="00745CA0"/>
    <w:rsid w:val="00751E42"/>
    <w:rsid w:val="00760DE8"/>
    <w:rsid w:val="0078088B"/>
    <w:rsid w:val="00782207"/>
    <w:rsid w:val="007864C4"/>
    <w:rsid w:val="00786A8B"/>
    <w:rsid w:val="00792BA5"/>
    <w:rsid w:val="007935B2"/>
    <w:rsid w:val="007938CC"/>
    <w:rsid w:val="007A6EF5"/>
    <w:rsid w:val="007B087E"/>
    <w:rsid w:val="007B0EAC"/>
    <w:rsid w:val="007B47F5"/>
    <w:rsid w:val="007D2C35"/>
    <w:rsid w:val="007F4A51"/>
    <w:rsid w:val="00814C99"/>
    <w:rsid w:val="008333B0"/>
    <w:rsid w:val="00837D90"/>
    <w:rsid w:val="0085488A"/>
    <w:rsid w:val="008639DD"/>
    <w:rsid w:val="00870A51"/>
    <w:rsid w:val="00871EBA"/>
    <w:rsid w:val="00880DEB"/>
    <w:rsid w:val="00882DCB"/>
    <w:rsid w:val="00885D58"/>
    <w:rsid w:val="0089187E"/>
    <w:rsid w:val="008C0407"/>
    <w:rsid w:val="008C4E21"/>
    <w:rsid w:val="008D0A56"/>
    <w:rsid w:val="008E2982"/>
    <w:rsid w:val="008E4F04"/>
    <w:rsid w:val="009005DE"/>
    <w:rsid w:val="00914118"/>
    <w:rsid w:val="00923307"/>
    <w:rsid w:val="00923E99"/>
    <w:rsid w:val="00946490"/>
    <w:rsid w:val="00946C4E"/>
    <w:rsid w:val="009470E4"/>
    <w:rsid w:val="00950329"/>
    <w:rsid w:val="00955849"/>
    <w:rsid w:val="00955A6C"/>
    <w:rsid w:val="0098591B"/>
    <w:rsid w:val="009869C8"/>
    <w:rsid w:val="009878BC"/>
    <w:rsid w:val="00990874"/>
    <w:rsid w:val="009A33AE"/>
    <w:rsid w:val="009A7A73"/>
    <w:rsid w:val="009B23D5"/>
    <w:rsid w:val="009C271F"/>
    <w:rsid w:val="009D53CB"/>
    <w:rsid w:val="009E1245"/>
    <w:rsid w:val="009F0570"/>
    <w:rsid w:val="009F2BF4"/>
    <w:rsid w:val="009F48C7"/>
    <w:rsid w:val="009F4B81"/>
    <w:rsid w:val="009F7825"/>
    <w:rsid w:val="00A044BC"/>
    <w:rsid w:val="00A149CD"/>
    <w:rsid w:val="00A15138"/>
    <w:rsid w:val="00A1728A"/>
    <w:rsid w:val="00A33910"/>
    <w:rsid w:val="00A400CB"/>
    <w:rsid w:val="00A4383E"/>
    <w:rsid w:val="00A47520"/>
    <w:rsid w:val="00A5129C"/>
    <w:rsid w:val="00A52963"/>
    <w:rsid w:val="00A546AB"/>
    <w:rsid w:val="00A608A0"/>
    <w:rsid w:val="00A652EF"/>
    <w:rsid w:val="00A90330"/>
    <w:rsid w:val="00AA0EB2"/>
    <w:rsid w:val="00AC6295"/>
    <w:rsid w:val="00AF581A"/>
    <w:rsid w:val="00B00DF3"/>
    <w:rsid w:val="00B06B4C"/>
    <w:rsid w:val="00B06ECA"/>
    <w:rsid w:val="00B1161B"/>
    <w:rsid w:val="00B11951"/>
    <w:rsid w:val="00B124E5"/>
    <w:rsid w:val="00B12899"/>
    <w:rsid w:val="00B36E55"/>
    <w:rsid w:val="00B41E3F"/>
    <w:rsid w:val="00B46DFC"/>
    <w:rsid w:val="00B671BB"/>
    <w:rsid w:val="00B712C3"/>
    <w:rsid w:val="00B749E5"/>
    <w:rsid w:val="00B77DA3"/>
    <w:rsid w:val="00B87F69"/>
    <w:rsid w:val="00B90E7A"/>
    <w:rsid w:val="00B93001"/>
    <w:rsid w:val="00B9697B"/>
    <w:rsid w:val="00B978FE"/>
    <w:rsid w:val="00BA06CC"/>
    <w:rsid w:val="00BC6DBD"/>
    <w:rsid w:val="00BD22E6"/>
    <w:rsid w:val="00BE10A2"/>
    <w:rsid w:val="00BE78F9"/>
    <w:rsid w:val="00C10A34"/>
    <w:rsid w:val="00C173B4"/>
    <w:rsid w:val="00C262AF"/>
    <w:rsid w:val="00C26CC2"/>
    <w:rsid w:val="00C324DA"/>
    <w:rsid w:val="00C36B71"/>
    <w:rsid w:val="00C42D4A"/>
    <w:rsid w:val="00C44FFC"/>
    <w:rsid w:val="00C45F68"/>
    <w:rsid w:val="00C52503"/>
    <w:rsid w:val="00C5522F"/>
    <w:rsid w:val="00C56870"/>
    <w:rsid w:val="00C675DD"/>
    <w:rsid w:val="00C71B59"/>
    <w:rsid w:val="00C71EAE"/>
    <w:rsid w:val="00C73DE4"/>
    <w:rsid w:val="00C86FF1"/>
    <w:rsid w:val="00C87B88"/>
    <w:rsid w:val="00C90290"/>
    <w:rsid w:val="00CA3F73"/>
    <w:rsid w:val="00CA6F42"/>
    <w:rsid w:val="00CB34B5"/>
    <w:rsid w:val="00CB4733"/>
    <w:rsid w:val="00CD5741"/>
    <w:rsid w:val="00CD7641"/>
    <w:rsid w:val="00CE51F7"/>
    <w:rsid w:val="00CE61CF"/>
    <w:rsid w:val="00CE6CF4"/>
    <w:rsid w:val="00CF6807"/>
    <w:rsid w:val="00D059A3"/>
    <w:rsid w:val="00D0654C"/>
    <w:rsid w:val="00D17575"/>
    <w:rsid w:val="00D212F1"/>
    <w:rsid w:val="00D325F3"/>
    <w:rsid w:val="00D32D8B"/>
    <w:rsid w:val="00D42E59"/>
    <w:rsid w:val="00D478AD"/>
    <w:rsid w:val="00D50528"/>
    <w:rsid w:val="00D82CD0"/>
    <w:rsid w:val="00D849D1"/>
    <w:rsid w:val="00D84ED6"/>
    <w:rsid w:val="00D90AEB"/>
    <w:rsid w:val="00D92E30"/>
    <w:rsid w:val="00D954D1"/>
    <w:rsid w:val="00D95B44"/>
    <w:rsid w:val="00DA05A6"/>
    <w:rsid w:val="00DA1333"/>
    <w:rsid w:val="00DA4F90"/>
    <w:rsid w:val="00DA5CBA"/>
    <w:rsid w:val="00DA7691"/>
    <w:rsid w:val="00DC6BEC"/>
    <w:rsid w:val="00DD7231"/>
    <w:rsid w:val="00DE1E4E"/>
    <w:rsid w:val="00DF1114"/>
    <w:rsid w:val="00DF2D06"/>
    <w:rsid w:val="00E03CAD"/>
    <w:rsid w:val="00E049A2"/>
    <w:rsid w:val="00E07212"/>
    <w:rsid w:val="00E07D87"/>
    <w:rsid w:val="00E07E83"/>
    <w:rsid w:val="00E12F1F"/>
    <w:rsid w:val="00E16B14"/>
    <w:rsid w:val="00E17831"/>
    <w:rsid w:val="00E17F24"/>
    <w:rsid w:val="00E20516"/>
    <w:rsid w:val="00E30777"/>
    <w:rsid w:val="00E31DE1"/>
    <w:rsid w:val="00E32174"/>
    <w:rsid w:val="00E325CC"/>
    <w:rsid w:val="00E32E93"/>
    <w:rsid w:val="00E3455E"/>
    <w:rsid w:val="00E37AF8"/>
    <w:rsid w:val="00E45298"/>
    <w:rsid w:val="00E548FC"/>
    <w:rsid w:val="00E55C66"/>
    <w:rsid w:val="00E63D56"/>
    <w:rsid w:val="00E650A6"/>
    <w:rsid w:val="00E73E81"/>
    <w:rsid w:val="00E76B5C"/>
    <w:rsid w:val="00E824A7"/>
    <w:rsid w:val="00E83E19"/>
    <w:rsid w:val="00EA6531"/>
    <w:rsid w:val="00EB05C4"/>
    <w:rsid w:val="00EC7ADF"/>
    <w:rsid w:val="00ED4625"/>
    <w:rsid w:val="00F044A5"/>
    <w:rsid w:val="00F047B4"/>
    <w:rsid w:val="00F05EF7"/>
    <w:rsid w:val="00F06923"/>
    <w:rsid w:val="00F13D20"/>
    <w:rsid w:val="00F3057E"/>
    <w:rsid w:val="00F370BF"/>
    <w:rsid w:val="00F477F7"/>
    <w:rsid w:val="00F56893"/>
    <w:rsid w:val="00F60A17"/>
    <w:rsid w:val="00F6636A"/>
    <w:rsid w:val="00F77910"/>
    <w:rsid w:val="00F83A0B"/>
    <w:rsid w:val="00F9106F"/>
    <w:rsid w:val="00F93B3B"/>
    <w:rsid w:val="00FA583F"/>
    <w:rsid w:val="00FB0C06"/>
    <w:rsid w:val="00FB2723"/>
    <w:rsid w:val="00FB63A4"/>
    <w:rsid w:val="00FC66F4"/>
    <w:rsid w:val="00FE398D"/>
    <w:rsid w:val="00FE3D30"/>
    <w:rsid w:val="00FF2111"/>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8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14F6"/>
    <w:rPr>
      <w:color w:val="0000FF"/>
      <w:u w:val="single"/>
    </w:rPr>
  </w:style>
  <w:style w:type="character" w:styleId="CommentReference">
    <w:name w:val="annotation reference"/>
    <w:uiPriority w:val="99"/>
    <w:semiHidden/>
    <w:unhideWhenUsed/>
    <w:rsid w:val="0017717A"/>
    <w:rPr>
      <w:sz w:val="16"/>
      <w:szCs w:val="16"/>
    </w:rPr>
  </w:style>
  <w:style w:type="paragraph" w:styleId="CommentText">
    <w:name w:val="annotation text"/>
    <w:basedOn w:val="Normal"/>
    <w:link w:val="CommentTextChar"/>
    <w:uiPriority w:val="99"/>
    <w:semiHidden/>
    <w:unhideWhenUsed/>
    <w:rsid w:val="0017717A"/>
    <w:rPr>
      <w:sz w:val="20"/>
      <w:szCs w:val="20"/>
    </w:rPr>
  </w:style>
  <w:style w:type="character" w:customStyle="1" w:styleId="CommentTextChar">
    <w:name w:val="Comment Text Char"/>
    <w:basedOn w:val="DefaultParagraphFont"/>
    <w:link w:val="CommentText"/>
    <w:uiPriority w:val="99"/>
    <w:semiHidden/>
    <w:rsid w:val="0017717A"/>
  </w:style>
  <w:style w:type="paragraph" w:styleId="CommentSubject">
    <w:name w:val="annotation subject"/>
    <w:basedOn w:val="CommentText"/>
    <w:next w:val="CommentText"/>
    <w:link w:val="CommentSubjectChar"/>
    <w:uiPriority w:val="99"/>
    <w:semiHidden/>
    <w:unhideWhenUsed/>
    <w:rsid w:val="0017717A"/>
    <w:rPr>
      <w:b/>
      <w:bCs/>
      <w:lang/>
    </w:rPr>
  </w:style>
  <w:style w:type="character" w:customStyle="1" w:styleId="CommentSubjectChar">
    <w:name w:val="Comment Subject Char"/>
    <w:link w:val="CommentSubject"/>
    <w:uiPriority w:val="99"/>
    <w:semiHidden/>
    <w:rsid w:val="0017717A"/>
    <w:rPr>
      <w:b/>
      <w:bCs/>
    </w:rPr>
  </w:style>
  <w:style w:type="paragraph" w:styleId="BalloonText">
    <w:name w:val="Balloon Text"/>
    <w:basedOn w:val="Normal"/>
    <w:link w:val="BalloonTextChar"/>
    <w:uiPriority w:val="99"/>
    <w:semiHidden/>
    <w:unhideWhenUsed/>
    <w:rsid w:val="0017717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7717A"/>
    <w:rPr>
      <w:rFonts w:ascii="Tahoma" w:hAnsi="Tahoma" w:cs="Tahoma"/>
      <w:sz w:val="16"/>
      <w:szCs w:val="16"/>
    </w:rPr>
  </w:style>
  <w:style w:type="paragraph" w:styleId="Header">
    <w:name w:val="header"/>
    <w:basedOn w:val="Normal"/>
    <w:link w:val="HeaderChar"/>
    <w:uiPriority w:val="99"/>
    <w:unhideWhenUsed/>
    <w:rsid w:val="000726D2"/>
    <w:pPr>
      <w:tabs>
        <w:tab w:val="center" w:pos="4680"/>
        <w:tab w:val="right" w:pos="9360"/>
      </w:tabs>
      <w:spacing w:after="0" w:line="240" w:lineRule="auto"/>
    </w:pPr>
    <w:rPr>
      <w:lang/>
    </w:rPr>
  </w:style>
  <w:style w:type="character" w:customStyle="1" w:styleId="HeaderChar">
    <w:name w:val="Header Char"/>
    <w:link w:val="Header"/>
    <w:uiPriority w:val="99"/>
    <w:rsid w:val="000726D2"/>
    <w:rPr>
      <w:sz w:val="22"/>
      <w:szCs w:val="22"/>
    </w:rPr>
  </w:style>
  <w:style w:type="paragraph" w:styleId="Footer">
    <w:name w:val="footer"/>
    <w:basedOn w:val="Normal"/>
    <w:link w:val="FooterChar"/>
    <w:uiPriority w:val="99"/>
    <w:unhideWhenUsed/>
    <w:rsid w:val="000726D2"/>
    <w:pPr>
      <w:tabs>
        <w:tab w:val="center" w:pos="4680"/>
        <w:tab w:val="right" w:pos="9360"/>
      </w:tabs>
      <w:spacing w:after="0" w:line="240" w:lineRule="auto"/>
    </w:pPr>
    <w:rPr>
      <w:lang/>
    </w:rPr>
  </w:style>
  <w:style w:type="character" w:customStyle="1" w:styleId="FooterChar">
    <w:name w:val="Footer Char"/>
    <w:link w:val="Footer"/>
    <w:uiPriority w:val="99"/>
    <w:rsid w:val="000726D2"/>
    <w:rPr>
      <w:sz w:val="22"/>
      <w:szCs w:val="22"/>
    </w:rPr>
  </w:style>
  <w:style w:type="table" w:styleId="TableGrid">
    <w:name w:val="Table Grid"/>
    <w:basedOn w:val="TableNormal"/>
    <w:uiPriority w:val="59"/>
    <w:rsid w:val="005C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rsid w:val="00B41E3F"/>
  </w:style>
  <w:style w:type="paragraph" w:customStyle="1" w:styleId="Default">
    <w:name w:val="Default"/>
    <w:rsid w:val="009470E4"/>
    <w:pPr>
      <w:autoSpaceDE w:val="0"/>
      <w:autoSpaceDN w:val="0"/>
      <w:adjustRightInd w:val="0"/>
    </w:pPr>
    <w:rPr>
      <w:rFonts w:ascii="TTFFFFF900C00CFF50t00" w:hAnsi="TTFFFFF900C00CFF50t00" w:cs="TTFFFFF900C00CFF50t00"/>
      <w:color w:val="000000"/>
      <w:sz w:val="24"/>
      <w:szCs w:val="24"/>
    </w:rPr>
  </w:style>
</w:styles>
</file>

<file path=word/webSettings.xml><?xml version="1.0" encoding="utf-8"?>
<w:webSettings xmlns:r="http://schemas.openxmlformats.org/officeDocument/2006/relationships" xmlns:w="http://schemas.openxmlformats.org/wordprocessingml/2006/main">
  <w:divs>
    <w:div w:id="180434372">
      <w:bodyDiv w:val="1"/>
      <w:marLeft w:val="0"/>
      <w:marRight w:val="0"/>
      <w:marTop w:val="0"/>
      <w:marBottom w:val="0"/>
      <w:divBdr>
        <w:top w:val="none" w:sz="0" w:space="0" w:color="auto"/>
        <w:left w:val="none" w:sz="0" w:space="0" w:color="auto"/>
        <w:bottom w:val="none" w:sz="0" w:space="0" w:color="auto"/>
        <w:right w:val="none" w:sz="0" w:space="0" w:color="auto"/>
      </w:divBdr>
    </w:div>
    <w:div w:id="20326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2F00224669070410010101"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80%2F0161956090324095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x.doi.org/10.1080%2F01619560903240954"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TFFFFF900C00CFF50t00">
    <w:altName w:val="TTFFFF F 90 0 C 00 CF F 5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38B0"/>
    <w:rsid w:val="00F13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5D1279C56419CAC019285A9BB6217">
    <w:name w:val="B6E5D1279C56419CAC019285A9BB6217"/>
    <w:rsid w:val="00F138B0"/>
  </w:style>
  <w:style w:type="paragraph" w:customStyle="1" w:styleId="140FE23CD3964AFEB27467D7EA11EC51">
    <w:name w:val="140FE23CD3964AFEB27467D7EA11EC51"/>
    <w:rsid w:val="00F138B0"/>
  </w:style>
  <w:style w:type="paragraph" w:customStyle="1" w:styleId="21D43E75CD93441F9BA4FD5FA6C9D5D9">
    <w:name w:val="21D43E75CD93441F9BA4FD5FA6C9D5D9"/>
    <w:rsid w:val="00F138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40EE-6848-4EA7-B5A0-A19CEF60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6004</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40149</CharactersWithSpaces>
  <SharedDoc>false</SharedDoc>
  <HLinks>
    <vt:vector size="18" baseType="variant">
      <vt:variant>
        <vt:i4>327767</vt:i4>
      </vt:variant>
      <vt:variant>
        <vt:i4>6</vt:i4>
      </vt:variant>
      <vt:variant>
        <vt:i4>0</vt:i4>
      </vt:variant>
      <vt:variant>
        <vt:i4>5</vt:i4>
      </vt:variant>
      <vt:variant>
        <vt:lpwstr>http://dx.doi.org/10.1080%2F01619560903240954</vt:lpwstr>
      </vt:variant>
      <vt:variant>
        <vt:lpwstr/>
      </vt:variant>
      <vt:variant>
        <vt:i4>327767</vt:i4>
      </vt:variant>
      <vt:variant>
        <vt:i4>3</vt:i4>
      </vt:variant>
      <vt:variant>
        <vt:i4>0</vt:i4>
      </vt:variant>
      <vt:variant>
        <vt:i4>5</vt:i4>
      </vt:variant>
      <vt:variant>
        <vt:lpwstr>http://dx.doi.org/10.1080%2F01619560903240954</vt:lpwstr>
      </vt:variant>
      <vt:variant>
        <vt:lpwstr/>
      </vt:variant>
      <vt:variant>
        <vt:i4>458846</vt:i4>
      </vt:variant>
      <vt:variant>
        <vt:i4>0</vt:i4>
      </vt:variant>
      <vt:variant>
        <vt:i4>0</vt:i4>
      </vt:variant>
      <vt:variant>
        <vt:i4>5</vt:i4>
      </vt:variant>
      <vt:variant>
        <vt:lpwstr>http://dx.doi.org/10.1177%2F00224669070410010101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La Salle</dc:creator>
  <cp:lastModifiedBy>West Chester University</cp:lastModifiedBy>
  <cp:revision>15</cp:revision>
  <cp:lastPrinted>2011-05-12T16:55:00Z</cp:lastPrinted>
  <dcterms:created xsi:type="dcterms:W3CDTF">2013-01-31T13:50:00Z</dcterms:created>
  <dcterms:modified xsi:type="dcterms:W3CDTF">2013-01-31T15:19:00Z</dcterms:modified>
</cp:coreProperties>
</file>